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B82F" w14:textId="4134F2AC" w:rsidR="005B7384" w:rsidRDefault="00344F5B" w:rsidP="009C4AA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3F33859" wp14:editId="017E667B">
            <wp:simplePos x="0" y="0"/>
            <wp:positionH relativeFrom="margin">
              <wp:posOffset>3783965</wp:posOffset>
            </wp:positionH>
            <wp:positionV relativeFrom="margin">
              <wp:posOffset>-142240</wp:posOffset>
            </wp:positionV>
            <wp:extent cx="2129790" cy="791210"/>
            <wp:effectExtent l="0" t="0" r="3810" b="8890"/>
            <wp:wrapSquare wrapText="bothSides"/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RIC-ILIAD-horizontal-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E7A"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AC33DD7" wp14:editId="6F1711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6457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O-Couleur-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br w:type="textWrapping" w:clear="all"/>
      </w:r>
    </w:p>
    <w:p w14:paraId="54299B8A" w14:textId="77777777" w:rsidR="005B7384" w:rsidRPr="009C4AA6" w:rsidRDefault="005B7384" w:rsidP="003747DA">
      <w:pPr>
        <w:shd w:val="clear" w:color="auto" w:fill="92CDDC" w:themeFill="accent5" w:themeFillTint="99"/>
        <w:jc w:val="center"/>
        <w:rPr>
          <w:b/>
          <w:bCs/>
          <w:color w:val="FFFFFF"/>
          <w:sz w:val="32"/>
          <w:szCs w:val="32"/>
        </w:rPr>
      </w:pPr>
      <w:r w:rsidRPr="009C4AA6">
        <w:rPr>
          <w:b/>
          <w:bCs/>
          <w:color w:val="FFFFFF"/>
          <w:sz w:val="32"/>
          <w:szCs w:val="32"/>
        </w:rPr>
        <w:t xml:space="preserve">Cahier des charges </w:t>
      </w:r>
    </w:p>
    <w:p w14:paraId="5B40DA6B" w14:textId="040D948C" w:rsidR="005B7384" w:rsidRPr="009C4AA6" w:rsidRDefault="00136CC0" w:rsidP="003747DA">
      <w:pPr>
        <w:shd w:val="clear" w:color="auto" w:fill="92CDDC" w:themeFill="accent5" w:themeFillTint="99"/>
        <w:jc w:val="center"/>
        <w:rPr>
          <w:b/>
          <w:bCs/>
          <w:color w:val="FFFFFF"/>
          <w:sz w:val="32"/>
          <w:szCs w:val="32"/>
        </w:rPr>
      </w:pPr>
      <w:proofErr w:type="gramStart"/>
      <w:r>
        <w:rPr>
          <w:b/>
          <w:bCs/>
          <w:color w:val="FFFFFF"/>
          <w:sz w:val="32"/>
          <w:szCs w:val="32"/>
        </w:rPr>
        <w:t>de</w:t>
      </w:r>
      <w:proofErr w:type="gramEnd"/>
      <w:r>
        <w:rPr>
          <w:b/>
          <w:bCs/>
          <w:color w:val="FFFFFF"/>
          <w:sz w:val="32"/>
          <w:szCs w:val="32"/>
        </w:rPr>
        <w:t xml:space="preserve"> l’</w:t>
      </w:r>
      <w:r w:rsidR="003914D5">
        <w:rPr>
          <w:b/>
          <w:bCs/>
          <w:color w:val="FFFFFF"/>
          <w:sz w:val="32"/>
          <w:szCs w:val="32"/>
        </w:rPr>
        <w:t xml:space="preserve">Appel Offres Émergence </w:t>
      </w:r>
      <w:r w:rsidR="00126C45">
        <w:rPr>
          <w:b/>
          <w:bCs/>
          <w:color w:val="FFFFFF" w:themeColor="background1"/>
          <w:sz w:val="32"/>
          <w:szCs w:val="32"/>
        </w:rPr>
        <w:t>201</w:t>
      </w:r>
      <w:r w:rsidR="00D201C7">
        <w:rPr>
          <w:b/>
          <w:bCs/>
          <w:color w:val="FFFFFF" w:themeColor="background1"/>
          <w:sz w:val="32"/>
          <w:szCs w:val="32"/>
        </w:rPr>
        <w:t>9</w:t>
      </w:r>
    </w:p>
    <w:p w14:paraId="62081A2E" w14:textId="715ED360" w:rsidR="005B7384" w:rsidRPr="009C4AA6" w:rsidRDefault="005B7384" w:rsidP="003747DA">
      <w:pPr>
        <w:shd w:val="clear" w:color="auto" w:fill="92CDDC" w:themeFill="accent5" w:themeFillTint="99"/>
        <w:jc w:val="center"/>
        <w:rPr>
          <w:b/>
          <w:bCs/>
          <w:color w:val="FFFFFF"/>
          <w:sz w:val="32"/>
          <w:szCs w:val="32"/>
        </w:rPr>
      </w:pPr>
      <w:r w:rsidRPr="009C4AA6">
        <w:rPr>
          <w:b/>
          <w:bCs/>
          <w:color w:val="FFFFFF"/>
          <w:sz w:val="32"/>
          <w:szCs w:val="32"/>
        </w:rPr>
        <w:t>Cancéropôle Grand Ouest</w:t>
      </w:r>
      <w:r w:rsidR="00E51674">
        <w:rPr>
          <w:b/>
          <w:bCs/>
          <w:color w:val="FFFFFF"/>
          <w:sz w:val="32"/>
          <w:szCs w:val="32"/>
        </w:rPr>
        <w:t xml:space="preserve"> / SIRIC ILIAD</w:t>
      </w:r>
    </w:p>
    <w:p w14:paraId="6BE13259" w14:textId="77777777" w:rsidR="003914D5" w:rsidRPr="004560F8" w:rsidRDefault="003914D5" w:rsidP="003914D5">
      <w:pPr>
        <w:spacing w:after="0" w:line="240" w:lineRule="auto"/>
      </w:pPr>
    </w:p>
    <w:p w14:paraId="5FED29FB" w14:textId="33163D55" w:rsidR="00D201C7" w:rsidRPr="00877494" w:rsidRDefault="005B7384" w:rsidP="00D201C7">
      <w:pPr>
        <w:jc w:val="both"/>
        <w:rPr>
          <w:b/>
          <w:bCs/>
          <w:i/>
          <w:iCs/>
          <w:sz w:val="18"/>
        </w:rPr>
      </w:pPr>
      <w:r w:rsidRPr="009B5DFC">
        <w:rPr>
          <w:b/>
          <w:bCs/>
          <w:i/>
          <w:iCs/>
        </w:rPr>
        <w:t xml:space="preserve">L’Appel d’Offres Émergence </w:t>
      </w:r>
      <w:r>
        <w:rPr>
          <w:b/>
          <w:bCs/>
          <w:i/>
          <w:iCs/>
        </w:rPr>
        <w:t xml:space="preserve">du Cancéropôle Grand Ouest </w:t>
      </w:r>
      <w:r w:rsidR="00D201C7">
        <w:rPr>
          <w:b/>
          <w:bCs/>
          <w:i/>
          <w:iCs/>
        </w:rPr>
        <w:t>et du SIRIC I</w:t>
      </w:r>
      <w:r w:rsidR="00E51674">
        <w:rPr>
          <w:b/>
          <w:bCs/>
          <w:i/>
          <w:iCs/>
        </w:rPr>
        <w:t>LIAD</w:t>
      </w:r>
      <w:r w:rsidR="00D201C7">
        <w:rPr>
          <w:b/>
          <w:bCs/>
          <w:i/>
          <w:iCs/>
        </w:rPr>
        <w:t xml:space="preserve"> </w:t>
      </w:r>
      <w:r w:rsidRPr="009B5DFC">
        <w:rPr>
          <w:b/>
          <w:bCs/>
          <w:i/>
          <w:iCs/>
        </w:rPr>
        <w:t xml:space="preserve">a pour finalité de soutenir </w:t>
      </w:r>
      <w:r w:rsidR="004268E7">
        <w:rPr>
          <w:b/>
          <w:bCs/>
          <w:i/>
          <w:iCs/>
        </w:rPr>
        <w:t xml:space="preserve">2 </w:t>
      </w:r>
      <w:r w:rsidRPr="009B5DFC">
        <w:rPr>
          <w:b/>
          <w:bCs/>
          <w:i/>
          <w:iCs/>
        </w:rPr>
        <w:t xml:space="preserve">projets de recherche </w:t>
      </w:r>
      <w:r>
        <w:rPr>
          <w:b/>
          <w:bCs/>
          <w:i/>
          <w:iCs/>
        </w:rPr>
        <w:t xml:space="preserve">originaux et </w:t>
      </w:r>
      <w:r w:rsidRPr="009B5DFC">
        <w:rPr>
          <w:b/>
          <w:bCs/>
          <w:i/>
          <w:iCs/>
        </w:rPr>
        <w:t>innovants</w:t>
      </w:r>
      <w:r>
        <w:rPr>
          <w:b/>
          <w:bCs/>
          <w:i/>
          <w:iCs/>
        </w:rPr>
        <w:t xml:space="preserve"> issus </w:t>
      </w:r>
      <w:r w:rsidR="00D201C7">
        <w:rPr>
          <w:b/>
          <w:bCs/>
          <w:i/>
          <w:iCs/>
        </w:rPr>
        <w:t xml:space="preserve">des équipes </w:t>
      </w:r>
      <w:r>
        <w:rPr>
          <w:b/>
          <w:bCs/>
          <w:i/>
          <w:iCs/>
        </w:rPr>
        <w:t xml:space="preserve">des </w:t>
      </w:r>
      <w:r w:rsidRPr="00A219E5">
        <w:rPr>
          <w:b/>
          <w:bCs/>
          <w:i/>
          <w:iCs/>
        </w:rPr>
        <w:t xml:space="preserve">réseaux </w:t>
      </w:r>
      <w:r w:rsidR="00D201C7">
        <w:rPr>
          <w:b/>
          <w:bCs/>
          <w:i/>
          <w:iCs/>
        </w:rPr>
        <w:t xml:space="preserve">du Cancéropôle Grand Ouest et </w:t>
      </w:r>
      <w:r w:rsidR="00E51674">
        <w:rPr>
          <w:b/>
          <w:bCs/>
          <w:i/>
          <w:iCs/>
        </w:rPr>
        <w:t>du</w:t>
      </w:r>
      <w:r w:rsidR="00021CF2">
        <w:rPr>
          <w:b/>
          <w:bCs/>
          <w:i/>
          <w:iCs/>
        </w:rPr>
        <w:t xml:space="preserve"> </w:t>
      </w:r>
      <w:r w:rsidR="00D201C7">
        <w:rPr>
          <w:b/>
          <w:bCs/>
          <w:i/>
          <w:iCs/>
        </w:rPr>
        <w:t>SIRIC I</w:t>
      </w:r>
      <w:r w:rsidR="00E51674">
        <w:rPr>
          <w:b/>
          <w:bCs/>
          <w:i/>
          <w:iCs/>
        </w:rPr>
        <w:t>LIAD</w:t>
      </w:r>
      <w:r w:rsidR="00021CF2">
        <w:rPr>
          <w:b/>
          <w:bCs/>
          <w:i/>
          <w:iCs/>
        </w:rPr>
        <w:t xml:space="preserve"> </w:t>
      </w:r>
      <w:r w:rsidR="00D9489D" w:rsidRPr="00877494">
        <w:rPr>
          <w:b/>
          <w:bCs/>
          <w:i/>
          <w:iCs/>
          <w:sz w:val="18"/>
        </w:rPr>
        <w:t>(</w:t>
      </w:r>
      <w:hyperlink r:id="rId10" w:history="1">
        <w:r w:rsidR="00877494" w:rsidRPr="00877494">
          <w:rPr>
            <w:rStyle w:val="Lienhypertexte"/>
            <w:sz w:val="18"/>
          </w:rPr>
          <w:t>https://www.siric-iliad.com/presentation/laboratoires-et-equipes/</w:t>
        </w:r>
      </w:hyperlink>
      <w:r w:rsidR="00D9489D" w:rsidRPr="00877494">
        <w:rPr>
          <w:sz w:val="18"/>
        </w:rPr>
        <w:t>)</w:t>
      </w:r>
      <w:r w:rsidR="00D9489D" w:rsidRPr="00877494" w:rsidDel="00D9489D">
        <w:rPr>
          <w:b/>
          <w:bCs/>
          <w:i/>
          <w:iCs/>
          <w:sz w:val="18"/>
          <w:highlight w:val="yellow"/>
        </w:rPr>
        <w:t xml:space="preserve"> </w:t>
      </w:r>
    </w:p>
    <w:p w14:paraId="63743F40" w14:textId="30F33A3A" w:rsidR="005B7384" w:rsidRPr="00613D78" w:rsidRDefault="005B7384" w:rsidP="00D630BB">
      <w:pPr>
        <w:pStyle w:val="Titre1"/>
      </w:pPr>
      <w:r w:rsidRPr="00613D78">
        <w:t>Contexte de l’Appel d’Offres Émergence du CGO</w:t>
      </w:r>
      <w:r w:rsidR="003A260B" w:rsidRPr="00613D78">
        <w:t xml:space="preserve"> / SIRIC I</w:t>
      </w:r>
      <w:r w:rsidR="00021CF2">
        <w:t>LIAD</w:t>
      </w:r>
    </w:p>
    <w:p w14:paraId="7DAB57E8" w14:textId="2B5EE047" w:rsidR="005B7384" w:rsidRDefault="00BE752F" w:rsidP="0012573F">
      <w:pPr>
        <w:jc w:val="both"/>
      </w:pPr>
      <w:r w:rsidRPr="00A219E5">
        <w:t>Dans le cadre du 3</w:t>
      </w:r>
      <w:r w:rsidRPr="00A219E5">
        <w:rPr>
          <w:vertAlign w:val="superscript"/>
        </w:rPr>
        <w:t>ème</w:t>
      </w:r>
      <w:r w:rsidRPr="00A219E5">
        <w:t xml:space="preserve"> plan cancer</w:t>
      </w:r>
      <w:r w:rsidRPr="00036D9C">
        <w:t xml:space="preserve">, </w:t>
      </w:r>
      <w:r w:rsidR="00384430" w:rsidRPr="00036D9C">
        <w:t xml:space="preserve">l’accompagnement des </w:t>
      </w:r>
      <w:r w:rsidR="00384430" w:rsidRPr="00F02AB7">
        <w:t>chercheurs</w:t>
      </w:r>
      <w:r w:rsidR="00384430" w:rsidRPr="00F02AB7">
        <w:rPr>
          <w:b/>
          <w:bCs/>
        </w:rPr>
        <w:t xml:space="preserve"> </w:t>
      </w:r>
      <w:r w:rsidR="00384430" w:rsidRPr="00F02AB7">
        <w:rPr>
          <w:bCs/>
        </w:rPr>
        <w:t>(notamment</w:t>
      </w:r>
      <w:r w:rsidR="009F4278" w:rsidRPr="00F02AB7">
        <w:t xml:space="preserve"> à l’émergence de nouveaux projets innovants</w:t>
      </w:r>
      <w:r w:rsidR="00567F48" w:rsidRPr="00F02AB7">
        <w:t>) est</w:t>
      </w:r>
      <w:r w:rsidR="009727DF" w:rsidRPr="00F02AB7">
        <w:t xml:space="preserve"> </w:t>
      </w:r>
      <w:r w:rsidRPr="00F02AB7">
        <w:t>une des missions confiées par l’INCa aux Cancéropôles</w:t>
      </w:r>
      <w:r w:rsidRPr="00A219E5">
        <w:t xml:space="preserve"> afin </w:t>
      </w:r>
      <w:r w:rsidR="0024137A" w:rsidRPr="00A219E5">
        <w:t>de soutenir l’émergence.</w:t>
      </w:r>
    </w:p>
    <w:p w14:paraId="71CEC281" w14:textId="299F5B30" w:rsidR="003A260B" w:rsidRPr="00A219E5" w:rsidRDefault="003A260B" w:rsidP="0012573F">
      <w:pPr>
        <w:jc w:val="both"/>
      </w:pPr>
      <w:r>
        <w:t>La mission des SIRIC est</w:t>
      </w:r>
      <w:r w:rsidRPr="003A260B">
        <w:t xml:space="preserve"> </w:t>
      </w:r>
      <w:r>
        <w:t>d’</w:t>
      </w:r>
      <w:r w:rsidRPr="003A260B">
        <w:t>offrir à la recherche translationnelle en cancérologie de nouvelles conditions opérationnelles, afin d'optimiser et d'accélérer la production de nouvelles connaissances et de favoriser leur diffusion et leur application dans le traitement des cancers.</w:t>
      </w:r>
    </w:p>
    <w:p w14:paraId="4C40FEE1" w14:textId="779829CE" w:rsidR="00B3592C" w:rsidRDefault="003A260B" w:rsidP="0012573F">
      <w:pPr>
        <w:jc w:val="both"/>
      </w:pPr>
      <w:r>
        <w:t>Le Cancéropôle Grand Ouest et le SIRIC I</w:t>
      </w:r>
      <w:r w:rsidR="00E51674">
        <w:t>LIAD</w:t>
      </w:r>
      <w:r>
        <w:t xml:space="preserve"> se sont </w:t>
      </w:r>
      <w:r w:rsidR="008A269A">
        <w:t xml:space="preserve">donc </w:t>
      </w:r>
      <w:r>
        <w:t xml:space="preserve">rapprochés afin de mettre en place un appel d’offres </w:t>
      </w:r>
      <w:r w:rsidR="00B3592C">
        <w:t>conjoint « </w:t>
      </w:r>
      <w:r w:rsidR="009D4509">
        <w:t>Emergence</w:t>
      </w:r>
      <w:r w:rsidR="00B3592C">
        <w:t> »</w:t>
      </w:r>
      <w:r w:rsidR="009D4509">
        <w:t xml:space="preserve"> </w:t>
      </w:r>
      <w:r w:rsidR="00B3592C">
        <w:t>pour le soutien à</w:t>
      </w:r>
      <w:r w:rsidR="005B7384">
        <w:t xml:space="preserve"> l'émergence de projets innovants ou "à risque scientifique" </w:t>
      </w:r>
      <w:r w:rsidR="00B3592C">
        <w:t>afin de permettre la consolidation de résultats préliminaires et maximiser les chances de réussite aux appels d’offre nationaux et internationaux.</w:t>
      </w:r>
    </w:p>
    <w:p w14:paraId="35970DBD" w14:textId="1C3C8166" w:rsidR="005B7384" w:rsidRPr="00A108B3" w:rsidRDefault="00344F5B" w:rsidP="00D630BB">
      <w:pPr>
        <w:pStyle w:val="Titre1"/>
      </w:pPr>
      <w:r>
        <w:t>Recommandations et critères d’é</w:t>
      </w:r>
      <w:r w:rsidR="005B7384" w:rsidRPr="00A108B3">
        <w:t>lig</w:t>
      </w:r>
      <w:r w:rsidR="00126C45" w:rsidRPr="00A108B3">
        <w:t>ibilité</w:t>
      </w:r>
    </w:p>
    <w:p w14:paraId="692E3F38" w14:textId="4AAF7B95" w:rsidR="00344F5B" w:rsidRPr="00D630BB" w:rsidRDefault="00344F5B" w:rsidP="00D630BB">
      <w:pPr>
        <w:pStyle w:val="Paragraphedeliste"/>
        <w:numPr>
          <w:ilvl w:val="0"/>
          <w:numId w:val="12"/>
        </w:numPr>
        <w:spacing w:line="240" w:lineRule="auto"/>
        <w:ind w:left="426"/>
        <w:jc w:val="both"/>
        <w:rPr>
          <w:b/>
          <w:sz w:val="24"/>
        </w:rPr>
      </w:pPr>
      <w:r w:rsidRPr="00D630BB">
        <w:rPr>
          <w:b/>
          <w:sz w:val="24"/>
        </w:rPr>
        <w:t>Nature des projets</w:t>
      </w:r>
    </w:p>
    <w:p w14:paraId="459CC4D6" w14:textId="77777777" w:rsidR="00021CF2" w:rsidRDefault="008C50E7" w:rsidP="008618BD">
      <w:pPr>
        <w:spacing w:line="240" w:lineRule="auto"/>
        <w:jc w:val="both"/>
      </w:pPr>
      <w:r w:rsidRPr="00A219E5">
        <w:t xml:space="preserve">L’objectif est de « lever un verrou », il peut s’agir d’une rupture scientifique et/ou technologique, </w:t>
      </w:r>
      <w:r w:rsidR="00B508CD">
        <w:t>le projet devant mettre en œuvre une approche nouvelle et originale.</w:t>
      </w:r>
    </w:p>
    <w:p w14:paraId="5CE881EB" w14:textId="1D1D06F7" w:rsidR="008C50E7" w:rsidRDefault="00021CF2" w:rsidP="008618BD">
      <w:pPr>
        <w:spacing w:line="240" w:lineRule="auto"/>
        <w:jc w:val="both"/>
      </w:pPr>
      <w:r>
        <w:t xml:space="preserve">L’appel à projet pourra </w:t>
      </w:r>
      <w:r w:rsidR="00E80A8D">
        <w:t>soutenir</w:t>
      </w:r>
      <w:r>
        <w:t xml:space="preserve"> </w:t>
      </w:r>
      <w:r w:rsidR="00344F5B">
        <w:t xml:space="preserve">: </w:t>
      </w:r>
    </w:p>
    <w:p w14:paraId="7DD32968" w14:textId="77777777" w:rsidR="00344F5B" w:rsidRDefault="00344F5B" w:rsidP="00D630BB">
      <w:pPr>
        <w:numPr>
          <w:ilvl w:val="0"/>
          <w:numId w:val="5"/>
        </w:numPr>
        <w:tabs>
          <w:tab w:val="clear" w:pos="720"/>
          <w:tab w:val="num" w:pos="852"/>
        </w:tabs>
        <w:spacing w:after="0" w:line="240" w:lineRule="auto"/>
        <w:ind w:left="284" w:hanging="284"/>
        <w:jc w:val="both"/>
      </w:pPr>
      <w:r>
        <w:t>L</w:t>
      </w:r>
      <w:r w:rsidRPr="00610D0C">
        <w:t>es projets « Pilotes » visant à tester la faisabilité et la pertinence de nouvelles approches s’appuyant sur les plateformes technologiques. Seront retenus des projets pouvant conduire ensuite au dépôt d’un projet de gra</w:t>
      </w:r>
      <w:r>
        <w:t xml:space="preserve">nde ampleur au niveau de </w:t>
      </w:r>
      <w:proofErr w:type="spellStart"/>
      <w:r>
        <w:t>l’INCa</w:t>
      </w:r>
      <w:proofErr w:type="spellEnd"/>
      <w:r>
        <w:t>.</w:t>
      </w:r>
    </w:p>
    <w:p w14:paraId="28E87E95" w14:textId="77777777" w:rsidR="00344F5B" w:rsidRDefault="00344F5B" w:rsidP="00D630BB">
      <w:pPr>
        <w:numPr>
          <w:ilvl w:val="0"/>
          <w:numId w:val="5"/>
        </w:numPr>
        <w:tabs>
          <w:tab w:val="clear" w:pos="720"/>
          <w:tab w:val="num" w:pos="852"/>
        </w:tabs>
        <w:spacing w:after="0" w:line="240" w:lineRule="auto"/>
        <w:ind w:left="284" w:hanging="284"/>
        <w:jc w:val="both"/>
      </w:pPr>
      <w:r>
        <w:t xml:space="preserve">Les </w:t>
      </w:r>
      <w:r w:rsidRPr="003C047A">
        <w:t>proje</w:t>
      </w:r>
      <w:r w:rsidRPr="0012573F">
        <w:t xml:space="preserve">ts fédérateurs </w:t>
      </w:r>
      <w:r w:rsidRPr="003C047A">
        <w:t>qui n</w:t>
      </w:r>
      <w:r>
        <w:t>écessitent une consolidation de</w:t>
      </w:r>
      <w:r w:rsidRPr="003C047A">
        <w:t xml:space="preserve"> résultats préliminaires ava</w:t>
      </w:r>
      <w:r>
        <w:t>nt dépôt aux appels à projets na</w:t>
      </w:r>
      <w:r w:rsidRPr="003C047A">
        <w:t>tionaux</w:t>
      </w:r>
      <w:r>
        <w:t>.</w:t>
      </w:r>
    </w:p>
    <w:p w14:paraId="129A63FD" w14:textId="35F873F6" w:rsidR="00021CF2" w:rsidRPr="00D630BB" w:rsidRDefault="00344F5B" w:rsidP="00D630BB">
      <w:pPr>
        <w:pStyle w:val="Paragraphedeliste"/>
        <w:numPr>
          <w:ilvl w:val="0"/>
          <w:numId w:val="5"/>
        </w:numPr>
        <w:tabs>
          <w:tab w:val="clear" w:pos="720"/>
          <w:tab w:val="num" w:pos="852"/>
        </w:tabs>
        <w:spacing w:after="0" w:line="240" w:lineRule="auto"/>
        <w:ind w:left="284" w:hanging="284"/>
        <w:jc w:val="both"/>
      </w:pPr>
      <w:r w:rsidRPr="00D630BB">
        <w:t xml:space="preserve">Les projets qui n’ont encore jamais </w:t>
      </w:r>
      <w:r w:rsidR="0084777D" w:rsidRPr="00D630BB">
        <w:t xml:space="preserve"> été </w:t>
      </w:r>
      <w:r w:rsidR="00021CF2" w:rsidRPr="00D630BB">
        <w:t>soumis</w:t>
      </w:r>
      <w:r w:rsidRPr="00D630BB">
        <w:t xml:space="preserve"> à aucun autre appel à projet régional ou national, à l’exception de ceux qui auront été qualifiés de trop précoces ou en défaut de résultats préliminaires.</w:t>
      </w:r>
    </w:p>
    <w:p w14:paraId="7A4CE115" w14:textId="17857298" w:rsidR="00344F5B" w:rsidRDefault="00021CF2" w:rsidP="00D630BB">
      <w:pPr>
        <w:pStyle w:val="Paragraphedeliste"/>
        <w:spacing w:after="0" w:line="240" w:lineRule="auto"/>
        <w:ind w:left="284"/>
        <w:jc w:val="both"/>
        <w:rPr>
          <w:i/>
        </w:rPr>
      </w:pPr>
      <w:r w:rsidRPr="00D630BB">
        <w:rPr>
          <w:i/>
        </w:rPr>
        <w:t>(</w:t>
      </w:r>
      <w:r w:rsidR="00344F5B" w:rsidRPr="00D630BB">
        <w:rPr>
          <w:i/>
        </w:rPr>
        <w:t>Les essais cliniques sont exclus de cet AAP, mais les projets peuvent concerner tout ou une partie des pré-requis au transfert à la clinique.</w:t>
      </w:r>
      <w:r w:rsidRPr="00D630BB">
        <w:rPr>
          <w:i/>
        </w:rPr>
        <w:t>)</w:t>
      </w:r>
    </w:p>
    <w:p w14:paraId="7F8E7F1C" w14:textId="77777777" w:rsidR="003333E3" w:rsidRDefault="003333E3" w:rsidP="00D630BB">
      <w:pPr>
        <w:pStyle w:val="Paragraphedeliste"/>
        <w:spacing w:after="0" w:line="240" w:lineRule="auto"/>
        <w:ind w:left="284"/>
        <w:jc w:val="both"/>
        <w:rPr>
          <w:i/>
        </w:rPr>
      </w:pPr>
    </w:p>
    <w:p w14:paraId="426266BB" w14:textId="237460DB" w:rsidR="003333E3" w:rsidRDefault="003333E3" w:rsidP="00D630BB">
      <w:pPr>
        <w:spacing w:line="240" w:lineRule="auto"/>
        <w:jc w:val="both"/>
      </w:pPr>
      <w:r>
        <w:t xml:space="preserve">Le projet doit obligatoirement </w:t>
      </w:r>
      <w:r w:rsidRPr="00D630BB">
        <w:rPr>
          <w:b/>
          <w:color w:val="E36C0A" w:themeColor="accent6" w:themeShade="BF"/>
        </w:rPr>
        <w:t>être collaboratif</w:t>
      </w:r>
      <w:r w:rsidRPr="00D630BB">
        <w:rPr>
          <w:color w:val="E36C0A" w:themeColor="accent6" w:themeShade="BF"/>
        </w:rPr>
        <w:t xml:space="preserve"> </w:t>
      </w:r>
      <w:r>
        <w:t xml:space="preserve">et </w:t>
      </w:r>
      <w:r w:rsidRPr="00D630BB">
        <w:rPr>
          <w:b/>
          <w:color w:val="E36C0A" w:themeColor="accent6" w:themeShade="BF"/>
        </w:rPr>
        <w:t xml:space="preserve">impliquer au minimum 2 équipes issues des deux structures CGO et SIRIC ILIAD </w:t>
      </w:r>
      <w:r w:rsidRPr="00D630BB">
        <w:rPr>
          <w:i/>
        </w:rPr>
        <w:t>(attention : les plates-formes et plateaux techniques ne peuvent pas être considérés comme « équipes » mais comme soutien technologique au projet)</w:t>
      </w:r>
    </w:p>
    <w:p w14:paraId="075FFE16" w14:textId="77777777" w:rsidR="003333E3" w:rsidRPr="00D630BB" w:rsidRDefault="003333E3" w:rsidP="00D630BB">
      <w:pPr>
        <w:pStyle w:val="Paragraphedeliste"/>
        <w:spacing w:after="0" w:line="240" w:lineRule="auto"/>
        <w:ind w:left="284"/>
        <w:jc w:val="both"/>
        <w:rPr>
          <w:i/>
        </w:rPr>
      </w:pPr>
    </w:p>
    <w:p w14:paraId="3DBBF5BF" w14:textId="5FD544C5" w:rsidR="008C50E7" w:rsidRPr="00D630BB" w:rsidRDefault="00021CF2" w:rsidP="00D630BB">
      <w:pPr>
        <w:pStyle w:val="Paragraphedeliste"/>
        <w:numPr>
          <w:ilvl w:val="0"/>
          <w:numId w:val="12"/>
        </w:numPr>
        <w:spacing w:before="120" w:line="240" w:lineRule="auto"/>
        <w:ind w:left="425" w:hanging="357"/>
        <w:jc w:val="both"/>
        <w:rPr>
          <w:b/>
          <w:sz w:val="24"/>
        </w:rPr>
      </w:pPr>
      <w:r>
        <w:rPr>
          <w:b/>
          <w:sz w:val="24"/>
        </w:rPr>
        <w:t>T</w:t>
      </w:r>
      <w:r w:rsidR="008C50E7" w:rsidRPr="00D630BB">
        <w:rPr>
          <w:b/>
          <w:sz w:val="24"/>
        </w:rPr>
        <w:t xml:space="preserve">hématiques </w:t>
      </w:r>
      <w:r w:rsidRPr="00D630BB">
        <w:rPr>
          <w:b/>
          <w:sz w:val="24"/>
        </w:rPr>
        <w:t xml:space="preserve">de l’appel d’offre : </w:t>
      </w:r>
    </w:p>
    <w:p w14:paraId="6ECF7594" w14:textId="13BC3593" w:rsidR="008C50E7" w:rsidRPr="008C50E7" w:rsidRDefault="00021CF2" w:rsidP="008618BD">
      <w:pPr>
        <w:numPr>
          <w:ilvl w:val="0"/>
          <w:numId w:val="10"/>
        </w:numPr>
        <w:spacing w:after="0" w:line="240" w:lineRule="auto"/>
        <w:jc w:val="both"/>
      </w:pPr>
      <w:r>
        <w:t>Oncologie</w:t>
      </w:r>
      <w:r w:rsidRPr="008C50E7">
        <w:t xml:space="preserve"> </w:t>
      </w:r>
      <w:r w:rsidR="008C50E7" w:rsidRPr="008C50E7">
        <w:t>nucléaire,</w:t>
      </w:r>
    </w:p>
    <w:p w14:paraId="27DE9CC3" w14:textId="3660137B" w:rsidR="008C50E7" w:rsidRPr="008C50E7" w:rsidRDefault="00021CF2" w:rsidP="008618BD">
      <w:pPr>
        <w:numPr>
          <w:ilvl w:val="0"/>
          <w:numId w:val="10"/>
        </w:numPr>
        <w:spacing w:after="0" w:line="240" w:lineRule="auto"/>
        <w:jc w:val="both"/>
      </w:pPr>
      <w:r>
        <w:t>E</w:t>
      </w:r>
      <w:r w:rsidR="008C50E7" w:rsidRPr="008C50E7">
        <w:t>tude de la résistance tumorale et ses paramètres,</w:t>
      </w:r>
    </w:p>
    <w:p w14:paraId="2230B132" w14:textId="1ED82FAD" w:rsidR="008C50E7" w:rsidRPr="008C50E7" w:rsidRDefault="00021CF2" w:rsidP="008618BD">
      <w:pPr>
        <w:numPr>
          <w:ilvl w:val="0"/>
          <w:numId w:val="10"/>
        </w:numPr>
        <w:spacing w:after="0" w:line="240" w:lineRule="auto"/>
        <w:jc w:val="both"/>
      </w:pPr>
      <w:r>
        <w:t>R</w:t>
      </w:r>
      <w:r w:rsidR="008C50E7" w:rsidRPr="008C50E7">
        <w:t>etour au travail/épidémiologie/santé publique</w:t>
      </w:r>
      <w:r w:rsidR="00927EB0">
        <w:t>.</w:t>
      </w:r>
    </w:p>
    <w:p w14:paraId="55A27985" w14:textId="77777777" w:rsidR="008C50E7" w:rsidRDefault="008C50E7" w:rsidP="008618BD">
      <w:pPr>
        <w:spacing w:after="0" w:line="240" w:lineRule="auto"/>
        <w:jc w:val="both"/>
      </w:pPr>
    </w:p>
    <w:p w14:paraId="3B52701A" w14:textId="66A9B917" w:rsidR="00344F5B" w:rsidRPr="00D630BB" w:rsidRDefault="005B7384" w:rsidP="00D630BB">
      <w:pPr>
        <w:pStyle w:val="Paragraphedeliste"/>
        <w:numPr>
          <w:ilvl w:val="0"/>
          <w:numId w:val="12"/>
        </w:numPr>
        <w:spacing w:line="240" w:lineRule="auto"/>
        <w:ind w:left="426"/>
        <w:jc w:val="both"/>
        <w:rPr>
          <w:b/>
          <w:sz w:val="24"/>
        </w:rPr>
      </w:pPr>
      <w:r w:rsidRPr="00D630BB">
        <w:rPr>
          <w:b/>
          <w:sz w:val="24"/>
        </w:rPr>
        <w:t>Public concerné</w:t>
      </w:r>
      <w:r w:rsidR="00344F5B" w:rsidRPr="00D630BB">
        <w:rPr>
          <w:b/>
          <w:sz w:val="24"/>
        </w:rPr>
        <w:t xml:space="preserve"> et portage du projet</w:t>
      </w:r>
      <w:r w:rsidRPr="00D630BB">
        <w:rPr>
          <w:b/>
          <w:sz w:val="24"/>
        </w:rPr>
        <w:t>:</w:t>
      </w:r>
    </w:p>
    <w:p w14:paraId="334AE1D8" w14:textId="6775C73E" w:rsidR="00E80A8D" w:rsidRDefault="00344F5B" w:rsidP="00D630BB">
      <w:pPr>
        <w:spacing w:after="0" w:line="240" w:lineRule="auto"/>
        <w:jc w:val="both"/>
      </w:pPr>
      <w:r>
        <w:t>E</w:t>
      </w:r>
      <w:r w:rsidR="005B7384" w:rsidRPr="00A219E5">
        <w:t xml:space="preserve">nsemble de la communauté scientifique </w:t>
      </w:r>
      <w:r w:rsidR="008C50E7">
        <w:t xml:space="preserve">située </w:t>
      </w:r>
      <w:r w:rsidR="005B7384" w:rsidRPr="00A219E5">
        <w:t xml:space="preserve">sur le territoire du </w:t>
      </w:r>
      <w:proofErr w:type="spellStart"/>
      <w:r w:rsidR="005B7384" w:rsidRPr="00A219E5">
        <w:t>Cancéropôle</w:t>
      </w:r>
      <w:proofErr w:type="spellEnd"/>
      <w:r w:rsidR="005B7384" w:rsidRPr="00A219E5">
        <w:t xml:space="preserve"> Grand Ouest</w:t>
      </w:r>
      <w:r w:rsidR="008A269A">
        <w:t xml:space="preserve"> </w:t>
      </w:r>
      <w:r>
        <w:t>ET</w:t>
      </w:r>
      <w:r w:rsidR="008A269A">
        <w:t xml:space="preserve"> équipes </w:t>
      </w:r>
      <w:r>
        <w:t>du</w:t>
      </w:r>
      <w:r w:rsidR="008A269A">
        <w:t xml:space="preserve"> SIRIC </w:t>
      </w:r>
      <w:r w:rsidR="00E80A8D">
        <w:t>I</w:t>
      </w:r>
      <w:r w:rsidR="00E51674">
        <w:t>LIAD</w:t>
      </w:r>
      <w:r w:rsidR="00A72628">
        <w:t xml:space="preserve"> Nantes-Angers</w:t>
      </w:r>
      <w:r w:rsidR="008A269A">
        <w:t>.</w:t>
      </w:r>
      <w:r w:rsidR="00196BDD">
        <w:t xml:space="preserve"> </w:t>
      </w:r>
    </w:p>
    <w:p w14:paraId="2D658AFA" w14:textId="2C20CD70" w:rsidR="00E80A8D" w:rsidRDefault="000902D2" w:rsidP="00D630BB">
      <w:pPr>
        <w:spacing w:after="0" w:line="240" w:lineRule="auto"/>
        <w:jc w:val="both"/>
      </w:pPr>
      <w:r w:rsidRPr="00A219E5">
        <w:t>Les personnes participant au projet devront être déjà en poste dans le laboratoire</w:t>
      </w:r>
      <w:r w:rsidR="00196BDD">
        <w:t xml:space="preserve"> </w:t>
      </w:r>
      <w:r w:rsidR="00B508CD">
        <w:t xml:space="preserve">et pendant toute la durée du </w:t>
      </w:r>
      <w:proofErr w:type="gramStart"/>
      <w:r w:rsidR="00B508CD">
        <w:t xml:space="preserve">projet </w:t>
      </w:r>
      <w:r w:rsidR="00A72628">
        <w:t>.</w:t>
      </w:r>
      <w:proofErr w:type="gramEnd"/>
    </w:p>
    <w:p w14:paraId="13299A79" w14:textId="0D3E2154" w:rsidR="008C50E7" w:rsidRDefault="005D60DE" w:rsidP="00D630BB">
      <w:pPr>
        <w:spacing w:after="0" w:line="240" w:lineRule="auto"/>
        <w:jc w:val="both"/>
      </w:pPr>
      <w:r>
        <w:t>Une même équipe ne peut être porteur que d’un seul projet.</w:t>
      </w:r>
      <w:r w:rsidR="00A4685F">
        <w:t xml:space="preserve"> Par contre elle peut être partenaire d’un autre projet.</w:t>
      </w:r>
    </w:p>
    <w:p w14:paraId="33FE5E47" w14:textId="7ED23AFF" w:rsidR="00337919" w:rsidRPr="00D630BB" w:rsidRDefault="00337919" w:rsidP="00D630BB">
      <w:pPr>
        <w:spacing w:after="0" w:line="240" w:lineRule="auto"/>
        <w:jc w:val="both"/>
        <w:rPr>
          <w:b/>
          <w:bCs/>
        </w:rPr>
      </w:pPr>
      <w:r w:rsidRPr="00D630BB">
        <w:rPr>
          <w:b/>
          <w:bCs/>
        </w:rPr>
        <w:t xml:space="preserve">Portage par au minimum 2 équipes dont au moins une </w:t>
      </w:r>
      <w:r w:rsidR="00E51674" w:rsidRPr="00D630BB">
        <w:rPr>
          <w:b/>
          <w:bCs/>
        </w:rPr>
        <w:t xml:space="preserve">appartenant au </w:t>
      </w:r>
      <w:r w:rsidR="008C2B51" w:rsidRPr="00D630BB">
        <w:rPr>
          <w:b/>
          <w:bCs/>
        </w:rPr>
        <w:t>SIRIC I</w:t>
      </w:r>
      <w:r w:rsidR="00E51674" w:rsidRPr="00D630BB">
        <w:rPr>
          <w:b/>
          <w:bCs/>
        </w:rPr>
        <w:t>LIAD</w:t>
      </w:r>
      <w:r w:rsidR="008C2B51" w:rsidRPr="00D630BB">
        <w:rPr>
          <w:b/>
          <w:bCs/>
        </w:rPr>
        <w:t xml:space="preserve"> et une issue du Cancéropôle Grand Ouest hors équipes </w:t>
      </w:r>
      <w:r w:rsidR="00A72628">
        <w:rPr>
          <w:b/>
          <w:bCs/>
        </w:rPr>
        <w:t>du</w:t>
      </w:r>
      <w:r w:rsidR="008C2B51" w:rsidRPr="00D630BB">
        <w:rPr>
          <w:b/>
          <w:bCs/>
        </w:rPr>
        <w:t xml:space="preserve"> SIRIC.</w:t>
      </w:r>
    </w:p>
    <w:p w14:paraId="15EF64C9" w14:textId="1835B909" w:rsidR="003333E3" w:rsidRPr="00D630BB" w:rsidRDefault="003333E3" w:rsidP="00D630B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 porteur du projet</w:t>
      </w:r>
      <w:r w:rsidR="00E80A8D">
        <w:rPr>
          <w:b/>
          <w:bCs/>
        </w:rPr>
        <w:t xml:space="preserve"> : </w:t>
      </w:r>
    </w:p>
    <w:p w14:paraId="56EE76DC" w14:textId="77777777" w:rsidR="003333E3" w:rsidRDefault="003333E3" w:rsidP="003333E3">
      <w:pPr>
        <w:pStyle w:val="Paragraphedeliste"/>
        <w:numPr>
          <w:ilvl w:val="0"/>
          <w:numId w:val="11"/>
        </w:numPr>
        <w:spacing w:line="240" w:lineRule="auto"/>
        <w:jc w:val="both"/>
      </w:pPr>
      <w:r w:rsidRPr="00610D0C">
        <w:t>chercheur, enseignant/cherch</w:t>
      </w:r>
      <w:r>
        <w:t>eur, clinicien, post-doctorant</w:t>
      </w:r>
    </w:p>
    <w:p w14:paraId="2DACB9B9" w14:textId="2EFD995D" w:rsidR="003333E3" w:rsidRDefault="003333E3" w:rsidP="003333E3">
      <w:pPr>
        <w:pStyle w:val="Paragraphedeliste"/>
        <w:numPr>
          <w:ilvl w:val="0"/>
          <w:numId w:val="11"/>
        </w:numPr>
        <w:spacing w:line="240" w:lineRule="auto"/>
        <w:jc w:val="both"/>
      </w:pPr>
      <w:r w:rsidRPr="00610D0C">
        <w:t>doit-être rattaché à un établissement ou organisme public de recherche, une universit</w:t>
      </w:r>
      <w:r>
        <w:t>é, un établissement hospitalier (</w:t>
      </w:r>
      <w:r w:rsidRPr="00421383">
        <w:t>pas uniquement à une plate-forme</w:t>
      </w:r>
      <w:r>
        <w:t>)</w:t>
      </w:r>
      <w:r w:rsidRPr="00421383">
        <w:t>.</w:t>
      </w:r>
    </w:p>
    <w:p w14:paraId="565DC439" w14:textId="49C13E3D" w:rsidR="003333E3" w:rsidRPr="00D630BB" w:rsidRDefault="003333E3" w:rsidP="003333E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>
        <w:t xml:space="preserve">Peut ne pas être statutaire. Dans ce cas, le dossier doit comporter une description de la continuité du projet en cas de résultats positifs, c’est-à-dire les perspectives de développement en cas de succès </w:t>
      </w:r>
      <w:r w:rsidRPr="00D630BB">
        <w:rPr>
          <w:sz w:val="20"/>
        </w:rPr>
        <w:t>(par exemple création d’une nouvelle équipe, demande d’un financement plus important pour un projet plus global, création d’un réseau, d’une plate-forme…)</w:t>
      </w:r>
    </w:p>
    <w:p w14:paraId="663DACA0" w14:textId="77777777" w:rsidR="003333E3" w:rsidRDefault="003333E3" w:rsidP="00D630BB">
      <w:pPr>
        <w:pStyle w:val="Paragraphedeliste"/>
        <w:spacing w:after="0" w:line="240" w:lineRule="auto"/>
        <w:jc w:val="both"/>
      </w:pPr>
    </w:p>
    <w:p w14:paraId="6ACB24EA" w14:textId="77777777" w:rsidR="00021CF2" w:rsidRPr="00D630BB" w:rsidRDefault="00021CF2" w:rsidP="00D630BB">
      <w:pPr>
        <w:pStyle w:val="Corpsdetexte2"/>
        <w:spacing w:before="240"/>
        <w:rPr>
          <w:b/>
          <w:i/>
          <w:color w:val="E36C0A" w:themeColor="accent6" w:themeShade="BF"/>
          <w:sz w:val="18"/>
        </w:rPr>
      </w:pPr>
      <w:r w:rsidRPr="00D630BB">
        <w:rPr>
          <w:b/>
          <w:i/>
          <w:color w:val="E36C0A" w:themeColor="accent6" w:themeShade="BF"/>
          <w:sz w:val="18"/>
        </w:rPr>
        <w:t>IMPORTANT :</w:t>
      </w:r>
    </w:p>
    <w:p w14:paraId="0E540E83" w14:textId="53AF6EA6" w:rsidR="00021CF2" w:rsidRPr="00D630BB" w:rsidRDefault="00021CF2" w:rsidP="00D630BB">
      <w:pPr>
        <w:pStyle w:val="Corpsdetexte2"/>
        <w:rPr>
          <w:color w:val="E36C0A" w:themeColor="accent6" w:themeShade="BF"/>
          <w:sz w:val="20"/>
        </w:rPr>
      </w:pPr>
      <w:r w:rsidRPr="00D630BB">
        <w:rPr>
          <w:color w:val="E36C0A" w:themeColor="accent6" w:themeShade="BF"/>
          <w:sz w:val="20"/>
        </w:rPr>
        <w:t xml:space="preserve">Le porteur du projet s'engage à rédiger un rapport d’avancement à 6 mois et un rapport final. Les résultats devront être publiés dans un délai maximal de 3 ans en mentionnant l’affiliation au </w:t>
      </w:r>
      <w:r w:rsidR="00F02AB7">
        <w:rPr>
          <w:color w:val="E36C0A" w:themeColor="accent6" w:themeShade="BF"/>
          <w:sz w:val="20"/>
        </w:rPr>
        <w:t xml:space="preserve">Cancéropôle Grand Ouest et au </w:t>
      </w:r>
      <w:r w:rsidRPr="00D630BB">
        <w:rPr>
          <w:color w:val="E36C0A" w:themeColor="accent6" w:themeShade="BF"/>
          <w:sz w:val="20"/>
        </w:rPr>
        <w:t>SIRIC</w:t>
      </w:r>
      <w:r w:rsidR="000214A9">
        <w:rPr>
          <w:color w:val="E36C0A" w:themeColor="accent6" w:themeShade="BF"/>
          <w:sz w:val="20"/>
        </w:rPr>
        <w:t xml:space="preserve"> ILIAD (référence </w:t>
      </w:r>
      <w:r w:rsidR="000214A9" w:rsidRPr="00D630BB">
        <w:rPr>
          <w:color w:val="E36C0A" w:themeColor="accent6" w:themeShade="BF"/>
          <w:sz w:val="20"/>
        </w:rPr>
        <w:t>INCA-DGOS-Inserm_12558)</w:t>
      </w:r>
      <w:r w:rsidRPr="00D630BB">
        <w:rPr>
          <w:color w:val="E36C0A" w:themeColor="accent6" w:themeShade="BF"/>
          <w:sz w:val="20"/>
        </w:rPr>
        <w:t>.</w:t>
      </w:r>
    </w:p>
    <w:p w14:paraId="49836B6B" w14:textId="64C2C928" w:rsidR="005B7384" w:rsidRDefault="005B7384" w:rsidP="008618BD">
      <w:pPr>
        <w:spacing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A2D0C" w14:paraId="51FE4DAD" w14:textId="77777777" w:rsidTr="001A2D0C">
        <w:tc>
          <w:tcPr>
            <w:tcW w:w="9210" w:type="dxa"/>
          </w:tcPr>
          <w:p w14:paraId="51BCC5D5" w14:textId="1FABF8B9" w:rsidR="001A2D0C" w:rsidRPr="0032776E" w:rsidRDefault="001A2D0C" w:rsidP="008618BD">
            <w:pPr>
              <w:spacing w:line="240" w:lineRule="auto"/>
              <w:jc w:val="both"/>
              <w:rPr>
                <w:color w:val="FF0000"/>
                <w:sz w:val="22"/>
                <w:szCs w:val="22"/>
              </w:rPr>
            </w:pPr>
            <w:r w:rsidRPr="003A70F1">
              <w:t xml:space="preserve">Les projets déposés à l’appel d’offres émergence du Cancéropôle Grand Ouest </w:t>
            </w:r>
            <w:r w:rsidR="008C2B51" w:rsidRPr="003A70F1">
              <w:t xml:space="preserve">/ SIRIC </w:t>
            </w:r>
            <w:proofErr w:type="spellStart"/>
            <w:r w:rsidR="008C2B51" w:rsidRPr="003A70F1">
              <w:t>Il</w:t>
            </w:r>
            <w:r w:rsidR="003333E3" w:rsidRPr="003A70F1">
              <w:t>IAD</w:t>
            </w:r>
            <w:proofErr w:type="spellEnd"/>
            <w:r w:rsidR="008C2B51" w:rsidRPr="003A70F1">
              <w:t xml:space="preserve"> </w:t>
            </w:r>
            <w:r w:rsidRPr="003A70F1">
              <w:t xml:space="preserve">ne devront pas avoir déjà été déposés à un appel d’offres </w:t>
            </w:r>
            <w:r w:rsidR="00B508CD" w:rsidRPr="003A70F1">
              <w:t xml:space="preserve">émergence du Cancéropôle GO, ni à l’appel d’offres </w:t>
            </w:r>
            <w:r w:rsidRPr="003A70F1">
              <w:t>régional ou interrégional de la Ligue Contre le Cancer</w:t>
            </w:r>
            <w:r w:rsidR="004575C9" w:rsidRPr="003A70F1">
              <w:t>.</w:t>
            </w:r>
            <w:r w:rsidRPr="003A70F1">
              <w:t xml:space="preserve"> </w:t>
            </w:r>
            <w:r w:rsidR="004575C9" w:rsidRPr="003A70F1">
              <w:t>P</w:t>
            </w:r>
            <w:r w:rsidRPr="003A70F1">
              <w:t>our ce faire</w:t>
            </w:r>
            <w:r w:rsidR="00EC4B42" w:rsidRPr="003A70F1">
              <w:t>,</w:t>
            </w:r>
            <w:r w:rsidRPr="003A70F1">
              <w:t xml:space="preserve"> le Conseil Scientifique Interrégional Grand-Ouest de la Ligue Contre le Cancer</w:t>
            </w:r>
            <w:r w:rsidR="00EC4B42" w:rsidRPr="003A70F1">
              <w:t xml:space="preserve"> </w:t>
            </w:r>
            <w:r w:rsidRPr="003A70F1">
              <w:t>ser</w:t>
            </w:r>
            <w:r w:rsidR="00EC4B42" w:rsidRPr="003A70F1">
              <w:t xml:space="preserve">ont </w:t>
            </w:r>
            <w:r w:rsidRPr="003A70F1">
              <w:t>destinataire</w:t>
            </w:r>
            <w:r w:rsidR="00EC4B42" w:rsidRPr="003A70F1">
              <w:t>s</w:t>
            </w:r>
            <w:r w:rsidRPr="003A70F1">
              <w:t xml:space="preserve"> des </w:t>
            </w:r>
            <w:r w:rsidR="00EC4B42" w:rsidRPr="003A70F1">
              <w:t>projets déposés.</w:t>
            </w:r>
          </w:p>
        </w:tc>
      </w:tr>
    </w:tbl>
    <w:p w14:paraId="23F6C2C3" w14:textId="41B7E916" w:rsidR="0024137A" w:rsidRDefault="0024137A" w:rsidP="00421383">
      <w:pPr>
        <w:spacing w:line="240" w:lineRule="auto"/>
      </w:pPr>
    </w:p>
    <w:p w14:paraId="4C9A6F4E" w14:textId="77777777" w:rsidR="005B7384" w:rsidRPr="00A108B3" w:rsidRDefault="005B7384" w:rsidP="00D630BB">
      <w:pPr>
        <w:pStyle w:val="Titre1"/>
      </w:pPr>
      <w:r w:rsidRPr="00A108B3">
        <w:t xml:space="preserve">Durée du projet </w:t>
      </w:r>
    </w:p>
    <w:p w14:paraId="5BACF394" w14:textId="646B9340" w:rsidR="005B7384" w:rsidRPr="00200C9F" w:rsidRDefault="005B7384" w:rsidP="005F6584">
      <w:pPr>
        <w:spacing w:before="120" w:after="0"/>
      </w:pPr>
      <w:r w:rsidRPr="00610D0C">
        <w:t xml:space="preserve">La durée </w:t>
      </w:r>
      <w:r w:rsidR="009D4509">
        <w:t xml:space="preserve">du projet </w:t>
      </w:r>
      <w:r>
        <w:t xml:space="preserve">sera au </w:t>
      </w:r>
      <w:r w:rsidRPr="00200C9F">
        <w:t xml:space="preserve">maximum </w:t>
      </w:r>
      <w:r w:rsidR="007E5273" w:rsidRPr="00200C9F">
        <w:t xml:space="preserve">de </w:t>
      </w:r>
      <w:r w:rsidR="0032776E" w:rsidRPr="00200C9F">
        <w:t>12</w:t>
      </w:r>
      <w:r w:rsidR="007E5273" w:rsidRPr="00200C9F">
        <w:t xml:space="preserve"> mois.</w:t>
      </w:r>
    </w:p>
    <w:p w14:paraId="05747427" w14:textId="77777777" w:rsidR="00A6384E" w:rsidRPr="00610D0C" w:rsidRDefault="00A6384E" w:rsidP="005F6584">
      <w:pPr>
        <w:spacing w:before="120" w:after="0"/>
      </w:pPr>
    </w:p>
    <w:p w14:paraId="1509525B" w14:textId="77777777" w:rsidR="005B7384" w:rsidRPr="00A108B3" w:rsidRDefault="005B7384" w:rsidP="00D630BB">
      <w:pPr>
        <w:pStyle w:val="Titre1"/>
      </w:pPr>
      <w:r w:rsidRPr="00A108B3">
        <w:t>Financement </w:t>
      </w:r>
    </w:p>
    <w:p w14:paraId="21A91B84" w14:textId="68333421" w:rsidR="00561716" w:rsidRPr="0032776E" w:rsidRDefault="00561716" w:rsidP="005F6584">
      <w:pPr>
        <w:spacing w:before="120" w:after="0"/>
        <w:rPr>
          <w:color w:val="FF0000"/>
        </w:rPr>
      </w:pPr>
      <w:r w:rsidRPr="00A219E5">
        <w:t>Le</w:t>
      </w:r>
      <w:r w:rsidR="00344F5B">
        <w:t xml:space="preserve"> budget demandé ne pourra excéder </w:t>
      </w:r>
      <w:r w:rsidR="007E570A">
        <w:rPr>
          <w:b/>
        </w:rPr>
        <w:t>40</w:t>
      </w:r>
      <w:r w:rsidR="00A219E5" w:rsidRPr="00446582">
        <w:rPr>
          <w:b/>
        </w:rPr>
        <w:t> </w:t>
      </w:r>
      <w:r w:rsidRPr="00446582">
        <w:rPr>
          <w:b/>
        </w:rPr>
        <w:t>000</w:t>
      </w:r>
      <w:r w:rsidR="00A219E5" w:rsidRPr="00446582">
        <w:rPr>
          <w:b/>
        </w:rPr>
        <w:t xml:space="preserve"> €</w:t>
      </w:r>
      <w:r w:rsidR="00344F5B">
        <w:rPr>
          <w:b/>
        </w:rPr>
        <w:t xml:space="preserve"> par projet.</w:t>
      </w:r>
    </w:p>
    <w:p w14:paraId="6F91621B" w14:textId="77777777" w:rsidR="005B7384" w:rsidRPr="00A219E5" w:rsidRDefault="005B7384" w:rsidP="00421383">
      <w:pPr>
        <w:spacing w:after="0" w:line="240" w:lineRule="auto"/>
      </w:pPr>
      <w:r w:rsidRPr="00A219E5">
        <w:t>La subvention pourra financer :</w:t>
      </w:r>
    </w:p>
    <w:p w14:paraId="7581EC4D" w14:textId="51E368E0" w:rsidR="00933EE4" w:rsidRDefault="00933EE4" w:rsidP="00421383">
      <w:pPr>
        <w:spacing w:after="0" w:line="240" w:lineRule="auto"/>
      </w:pPr>
      <w:r>
        <w:tab/>
      </w:r>
      <w:r w:rsidR="00561716" w:rsidRPr="00A219E5">
        <w:t>Du fonctionnement</w:t>
      </w:r>
      <w:r w:rsidR="00FD4C29" w:rsidRPr="00A219E5">
        <w:t xml:space="preserve"> et divers consommables</w:t>
      </w:r>
    </w:p>
    <w:p w14:paraId="376D86C4" w14:textId="09E760F6" w:rsidR="00561716" w:rsidRPr="00A219E5" w:rsidRDefault="00933EE4" w:rsidP="00421383">
      <w:pPr>
        <w:spacing w:after="0" w:line="240" w:lineRule="auto"/>
      </w:pPr>
      <w:r>
        <w:tab/>
        <w:t>D</w:t>
      </w:r>
      <w:r w:rsidR="00561716" w:rsidRPr="00A219E5">
        <w:t>es missions</w:t>
      </w:r>
    </w:p>
    <w:p w14:paraId="7FD7E8D6" w14:textId="0C340F9F" w:rsidR="005B7384" w:rsidRPr="00A219E5" w:rsidRDefault="00933EE4" w:rsidP="00933EE4">
      <w:pPr>
        <w:spacing w:after="0" w:line="240" w:lineRule="auto"/>
      </w:pPr>
      <w:r>
        <w:tab/>
      </w:r>
      <w:r w:rsidR="005B7384" w:rsidRPr="00A219E5">
        <w:t>De l’équipement</w:t>
      </w:r>
      <w:r w:rsidR="003A70F1">
        <w:t xml:space="preserve"> (hormis les</w:t>
      </w:r>
      <w:r w:rsidR="00B508CD">
        <w:t xml:space="preserve"> ordinateurs).</w:t>
      </w:r>
    </w:p>
    <w:p w14:paraId="190C5F91" w14:textId="3F5A71F5" w:rsidR="005B7384" w:rsidRDefault="00933EE4" w:rsidP="00933EE4">
      <w:pPr>
        <w:spacing w:after="0" w:line="240" w:lineRule="auto"/>
      </w:pPr>
      <w:r>
        <w:tab/>
      </w:r>
      <w:r w:rsidR="00AB313F">
        <w:t>Des p</w:t>
      </w:r>
      <w:r w:rsidR="005B7384" w:rsidRPr="00A219E5">
        <w:t>restations de service</w:t>
      </w:r>
    </w:p>
    <w:p w14:paraId="0ABB010A" w14:textId="65D3BBFD" w:rsidR="00A219E5" w:rsidRPr="00A219E5" w:rsidRDefault="00933EE4" w:rsidP="00933EE4">
      <w:pPr>
        <w:spacing w:after="0" w:line="240" w:lineRule="auto"/>
      </w:pPr>
      <w:r>
        <w:tab/>
      </w:r>
      <w:r w:rsidR="00AB313F">
        <w:t>Des g</w:t>
      </w:r>
      <w:r w:rsidR="00A219E5">
        <w:t>ratification</w:t>
      </w:r>
      <w:r w:rsidR="00AB313F">
        <w:t>s</w:t>
      </w:r>
      <w:r w:rsidR="00A219E5">
        <w:t xml:space="preserve"> de stage</w:t>
      </w:r>
    </w:p>
    <w:p w14:paraId="43239B6C" w14:textId="4447F418" w:rsidR="005B7384" w:rsidRDefault="005B7384" w:rsidP="00421383">
      <w:pPr>
        <w:spacing w:before="120" w:after="0" w:line="240" w:lineRule="auto"/>
      </w:pPr>
      <w:r w:rsidRPr="00A219E5">
        <w:t>Les dépenses de</w:t>
      </w:r>
      <w:r w:rsidR="00561716" w:rsidRPr="00A219E5">
        <w:t xml:space="preserve"> personnel ne sont pas éligibles sauf pour les </w:t>
      </w:r>
      <w:r w:rsidR="003A70F1">
        <w:t xml:space="preserve">projets de </w:t>
      </w:r>
      <w:r w:rsidR="00561716" w:rsidRPr="00A219E5">
        <w:t>SHS</w:t>
      </w:r>
      <w:r w:rsidR="00A219E5">
        <w:t>.</w:t>
      </w:r>
    </w:p>
    <w:p w14:paraId="754BEF19" w14:textId="0C34C7F9" w:rsidR="00344F5B" w:rsidRDefault="00344F5B" w:rsidP="00421383">
      <w:pPr>
        <w:spacing w:before="120" w:after="0" w:line="240" w:lineRule="auto"/>
      </w:pPr>
    </w:p>
    <w:p w14:paraId="5FE863FC" w14:textId="77777777" w:rsidR="00F02AB7" w:rsidRPr="00A219E5" w:rsidRDefault="00F02AB7" w:rsidP="00421383">
      <w:pPr>
        <w:spacing w:before="120" w:after="0" w:line="240" w:lineRule="auto"/>
      </w:pPr>
    </w:p>
    <w:p w14:paraId="778C3AC3" w14:textId="28FB35C2" w:rsidR="005B7384" w:rsidRPr="00A108B3" w:rsidRDefault="00021CF2" w:rsidP="00D630BB">
      <w:pPr>
        <w:pStyle w:val="Titre1"/>
      </w:pPr>
      <w:r>
        <w:lastRenderedPageBreak/>
        <w:t xml:space="preserve">Critères d’évaluation et </w:t>
      </w:r>
      <w:bookmarkStart w:id="0" w:name="_Hlk531183063"/>
      <w:r>
        <w:t>s</w:t>
      </w:r>
      <w:r w:rsidR="005B7384" w:rsidRPr="00A108B3">
        <w:t>élection</w:t>
      </w:r>
    </w:p>
    <w:bookmarkEnd w:id="0"/>
    <w:p w14:paraId="28B23706" w14:textId="484A26A6" w:rsidR="003333E3" w:rsidRPr="00610D0C" w:rsidRDefault="003333E3" w:rsidP="003333E3">
      <w:pPr>
        <w:spacing w:line="240" w:lineRule="auto"/>
        <w:jc w:val="both"/>
      </w:pPr>
      <w:r>
        <w:t xml:space="preserve">Les points suivants seront examinés </w:t>
      </w:r>
    </w:p>
    <w:p w14:paraId="57F5B8B2" w14:textId="5FB9799B" w:rsidR="003333E3" w:rsidRPr="00610D0C" w:rsidRDefault="003333E3" w:rsidP="003333E3">
      <w:pPr>
        <w:numPr>
          <w:ilvl w:val="0"/>
          <w:numId w:val="2"/>
        </w:numPr>
        <w:spacing w:before="120" w:after="0" w:line="240" w:lineRule="auto"/>
        <w:ind w:left="714" w:hanging="357"/>
        <w:jc w:val="both"/>
      </w:pPr>
      <w:r w:rsidRPr="00D630BB">
        <w:rPr>
          <w:b/>
        </w:rPr>
        <w:t>L’aspect émergent et novateur</w:t>
      </w:r>
      <w:r>
        <w:t xml:space="preserve"> : Le projet doit être avant tout une étude de faisabilité mettant en œuvre une approche nouvelle et originale </w:t>
      </w:r>
      <w:r w:rsidRPr="00D630BB">
        <w:rPr>
          <w:sz w:val="20"/>
        </w:rPr>
        <w:t>(ayant peu de chances d’être financée par d’autres organismes à ce stade)</w:t>
      </w:r>
      <w:r>
        <w:t xml:space="preserve">. Il doit représenter une ouverture ou une nouvelle voie d’exploration. Il ne peut être la suite de recherches déjà entreprises au sein de l’équipe </w:t>
      </w:r>
      <w:r w:rsidRPr="000A5171">
        <w:t xml:space="preserve">mais peut </w:t>
      </w:r>
      <w:r>
        <w:t>correspondre à</w:t>
      </w:r>
      <w:r w:rsidRPr="000A5171">
        <w:t xml:space="preserve"> une idée nouvelle </w:t>
      </w:r>
      <w:r>
        <w:t>issue</w:t>
      </w:r>
      <w:r w:rsidRPr="000A5171">
        <w:t xml:space="preserve"> de travaux antérieurs.</w:t>
      </w:r>
    </w:p>
    <w:p w14:paraId="08BB6480" w14:textId="77777777" w:rsidR="003333E3" w:rsidRPr="00D630BB" w:rsidRDefault="003333E3" w:rsidP="003333E3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b/>
        </w:rPr>
      </w:pPr>
      <w:r w:rsidRPr="00D630BB">
        <w:rPr>
          <w:b/>
        </w:rPr>
        <w:t>La qualité scientifique du projet et du candidat</w:t>
      </w:r>
    </w:p>
    <w:p w14:paraId="180B4231" w14:textId="77777777" w:rsidR="003333E3" w:rsidRDefault="003333E3" w:rsidP="003333E3">
      <w:pPr>
        <w:numPr>
          <w:ilvl w:val="0"/>
          <w:numId w:val="2"/>
        </w:numPr>
        <w:spacing w:before="120" w:after="0" w:line="240" w:lineRule="auto"/>
        <w:ind w:left="714" w:hanging="357"/>
        <w:jc w:val="both"/>
      </w:pPr>
      <w:r w:rsidRPr="00D630BB">
        <w:rPr>
          <w:b/>
        </w:rPr>
        <w:t>La faisabilité du projet</w:t>
      </w:r>
      <w:r>
        <w:t xml:space="preserve"> sur la durée du financement.</w:t>
      </w:r>
    </w:p>
    <w:p w14:paraId="02F7146B" w14:textId="77777777" w:rsidR="003333E3" w:rsidRPr="00610D0C" w:rsidRDefault="003333E3" w:rsidP="003333E3">
      <w:pPr>
        <w:spacing w:before="120" w:after="0" w:line="240" w:lineRule="auto"/>
        <w:jc w:val="both"/>
      </w:pPr>
      <w:r w:rsidRPr="0084777D">
        <w:t>Dans une démarche scientifique exploratoire, le porteur de projet devra préciser quel est l’effet levier attendu et quel(s) verrou(s) technologique(s)/ scientifique(s) ou méthodologique(s) il envisage de franchir. Il devra indiquer comment la poursuite du projet est envisagée en cas de succès.</w:t>
      </w:r>
    </w:p>
    <w:p w14:paraId="1873488F" w14:textId="77777777" w:rsidR="003333E3" w:rsidRDefault="003333E3" w:rsidP="008618BD">
      <w:pPr>
        <w:spacing w:line="240" w:lineRule="auto"/>
        <w:jc w:val="both"/>
        <w:rPr>
          <w:bCs/>
        </w:rPr>
      </w:pPr>
    </w:p>
    <w:p w14:paraId="7398FA11" w14:textId="2E7BEFD9" w:rsidR="007B566E" w:rsidRDefault="007B566E" w:rsidP="008618BD">
      <w:pPr>
        <w:spacing w:line="240" w:lineRule="auto"/>
        <w:jc w:val="both"/>
        <w:rPr>
          <w:bCs/>
        </w:rPr>
      </w:pPr>
      <w:r>
        <w:rPr>
          <w:bCs/>
        </w:rPr>
        <w:t xml:space="preserve">L’expertise </w:t>
      </w:r>
      <w:r w:rsidR="00021CF2">
        <w:rPr>
          <w:bCs/>
        </w:rPr>
        <w:t xml:space="preserve">des dossiers sera réalisée par des experts extérieurs </w:t>
      </w:r>
      <w:r>
        <w:rPr>
          <w:bCs/>
        </w:rPr>
        <w:t>au territoire du Grand Ouest.</w:t>
      </w:r>
    </w:p>
    <w:p w14:paraId="507A036A" w14:textId="0BF4C89C" w:rsidR="007B566E" w:rsidRPr="0077001B" w:rsidRDefault="003333E3" w:rsidP="008618BD">
      <w:pPr>
        <w:jc w:val="both"/>
      </w:pPr>
      <w:r>
        <w:t xml:space="preserve">Le classement des dossiers suivant les évaluations sera réalisé par les </w:t>
      </w:r>
      <w:r w:rsidR="007B566E">
        <w:t>comité</w:t>
      </w:r>
      <w:r>
        <w:t>s</w:t>
      </w:r>
      <w:r w:rsidR="007B566E">
        <w:t xml:space="preserve"> scientifique</w:t>
      </w:r>
      <w:r>
        <w:t>s</w:t>
      </w:r>
      <w:r w:rsidR="007B566E">
        <w:t xml:space="preserve"> </w:t>
      </w:r>
      <w:r>
        <w:t xml:space="preserve">du CGO et du SIRIC ILIAD. </w:t>
      </w:r>
    </w:p>
    <w:p w14:paraId="14E1CD9D" w14:textId="546EB58E" w:rsidR="00A6384E" w:rsidRDefault="00A6384E" w:rsidP="00A108B3">
      <w:pPr>
        <w:shd w:val="clear" w:color="auto" w:fill="FFFFFF" w:themeFill="background1"/>
        <w:spacing w:line="240" w:lineRule="auto"/>
        <w:rPr>
          <w:b/>
        </w:rPr>
      </w:pPr>
      <w:bookmarkStart w:id="1" w:name="_GoBack"/>
      <w:bookmarkEnd w:id="1"/>
    </w:p>
    <w:p w14:paraId="1D81463A" w14:textId="25AF9AD6" w:rsidR="00A6384E" w:rsidRPr="00A108B3" w:rsidRDefault="00A6384E" w:rsidP="00A6384E">
      <w:pPr>
        <w:shd w:val="clear" w:color="auto" w:fill="92CDDC" w:themeFill="accent5" w:themeFillTint="99"/>
        <w:rPr>
          <w:b/>
          <w:bCs/>
          <w:sz w:val="28"/>
          <w:szCs w:val="28"/>
        </w:rPr>
      </w:pPr>
      <w:r w:rsidRPr="00A108B3">
        <w:rPr>
          <w:b/>
          <w:bCs/>
          <w:sz w:val="28"/>
          <w:szCs w:val="28"/>
        </w:rPr>
        <w:t>Calendrier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5742A8" w:rsidRPr="000401A2" w14:paraId="0293F23D" w14:textId="77777777" w:rsidTr="0028283F">
        <w:tc>
          <w:tcPr>
            <w:tcW w:w="5524" w:type="dxa"/>
          </w:tcPr>
          <w:p w14:paraId="7487AD13" w14:textId="77252A29" w:rsidR="005742A8" w:rsidRPr="00D630BB" w:rsidRDefault="005742A8" w:rsidP="0032776E">
            <w:pPr>
              <w:rPr>
                <w:sz w:val="22"/>
                <w:szCs w:val="22"/>
              </w:rPr>
            </w:pPr>
            <w:r w:rsidRPr="000401A2">
              <w:rPr>
                <w:sz w:val="22"/>
                <w:szCs w:val="22"/>
              </w:rPr>
              <w:t>Date de lancement </w:t>
            </w:r>
            <w:r w:rsidR="0028283F" w:rsidRPr="000401A2">
              <w:rPr>
                <w:sz w:val="22"/>
                <w:szCs w:val="22"/>
              </w:rPr>
              <w:t>de l’appel d’offre émergence 201</w:t>
            </w:r>
            <w:r w:rsidR="00825D44" w:rsidRPr="000401A2">
              <w:rPr>
                <w:sz w:val="22"/>
                <w:szCs w:val="22"/>
              </w:rPr>
              <w:t>9</w:t>
            </w:r>
          </w:p>
        </w:tc>
        <w:tc>
          <w:tcPr>
            <w:tcW w:w="3536" w:type="dxa"/>
          </w:tcPr>
          <w:p w14:paraId="14079962" w14:textId="29296699" w:rsidR="005742A8" w:rsidRPr="000401A2" w:rsidRDefault="00B508CD" w:rsidP="00327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Novembre</w:t>
            </w:r>
            <w:r w:rsidRPr="000401A2">
              <w:rPr>
                <w:sz w:val="22"/>
                <w:szCs w:val="22"/>
              </w:rPr>
              <w:t xml:space="preserve"> </w:t>
            </w:r>
            <w:r w:rsidR="0077001B" w:rsidRPr="000401A2">
              <w:rPr>
                <w:sz w:val="22"/>
                <w:szCs w:val="22"/>
              </w:rPr>
              <w:t>201</w:t>
            </w:r>
            <w:r w:rsidR="00825D44" w:rsidRPr="000401A2">
              <w:rPr>
                <w:sz w:val="22"/>
                <w:szCs w:val="22"/>
              </w:rPr>
              <w:t>9</w:t>
            </w:r>
          </w:p>
        </w:tc>
      </w:tr>
      <w:tr w:rsidR="005742A8" w:rsidRPr="000401A2" w14:paraId="641C5B2C" w14:textId="77777777" w:rsidTr="0028283F">
        <w:tc>
          <w:tcPr>
            <w:tcW w:w="5524" w:type="dxa"/>
          </w:tcPr>
          <w:p w14:paraId="00C0B307" w14:textId="2BA29DAC" w:rsidR="005742A8" w:rsidRPr="000401A2" w:rsidRDefault="00021CF2" w:rsidP="00021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limite de dépôt</w:t>
            </w:r>
            <w:r w:rsidRPr="000401A2">
              <w:rPr>
                <w:sz w:val="22"/>
                <w:szCs w:val="22"/>
              </w:rPr>
              <w:t xml:space="preserve"> </w:t>
            </w:r>
            <w:r w:rsidR="005742A8" w:rsidRPr="000401A2">
              <w:rPr>
                <w:sz w:val="22"/>
                <w:szCs w:val="22"/>
              </w:rPr>
              <w:t>des dossiers</w:t>
            </w:r>
          </w:p>
        </w:tc>
        <w:tc>
          <w:tcPr>
            <w:tcW w:w="3536" w:type="dxa"/>
          </w:tcPr>
          <w:p w14:paraId="7BA0D51B" w14:textId="27289A62" w:rsidR="005742A8" w:rsidRPr="00F02AB7" w:rsidRDefault="00F02AB7" w:rsidP="0032776E">
            <w:pPr>
              <w:rPr>
                <w:sz w:val="22"/>
                <w:szCs w:val="22"/>
              </w:rPr>
            </w:pPr>
            <w:r w:rsidRPr="00D630BB">
              <w:t>13/01/2020</w:t>
            </w:r>
          </w:p>
        </w:tc>
      </w:tr>
      <w:tr w:rsidR="005742A8" w:rsidRPr="00D630BB" w14:paraId="0774E244" w14:textId="77777777" w:rsidTr="0028283F">
        <w:tc>
          <w:tcPr>
            <w:tcW w:w="5524" w:type="dxa"/>
          </w:tcPr>
          <w:p w14:paraId="2EE28313" w14:textId="5D1384F2" w:rsidR="005742A8" w:rsidRPr="00D630BB" w:rsidRDefault="005742A8" w:rsidP="0032776E">
            <w:pPr>
              <w:rPr>
                <w:sz w:val="22"/>
                <w:szCs w:val="22"/>
              </w:rPr>
            </w:pPr>
            <w:r w:rsidRPr="00D630BB">
              <w:rPr>
                <w:sz w:val="22"/>
                <w:szCs w:val="22"/>
              </w:rPr>
              <w:t>Etude des dossiers par le comité de pilotage scientifique</w:t>
            </w:r>
            <w:r w:rsidR="0028283F" w:rsidRPr="00D630BB">
              <w:rPr>
                <w:sz w:val="22"/>
                <w:szCs w:val="22"/>
              </w:rPr>
              <w:t xml:space="preserve"> CGO</w:t>
            </w:r>
            <w:r w:rsidR="00825D44" w:rsidRPr="00D630BB">
              <w:rPr>
                <w:sz w:val="22"/>
                <w:szCs w:val="22"/>
              </w:rPr>
              <w:t>/SIRIC</w:t>
            </w:r>
          </w:p>
        </w:tc>
        <w:tc>
          <w:tcPr>
            <w:tcW w:w="3536" w:type="dxa"/>
          </w:tcPr>
          <w:p w14:paraId="42CB2C72" w14:textId="21CECDDA" w:rsidR="005742A8" w:rsidRPr="00D630BB" w:rsidRDefault="00F02AB7" w:rsidP="0032776E">
            <w:pPr>
              <w:rPr>
                <w:sz w:val="22"/>
                <w:szCs w:val="22"/>
              </w:rPr>
            </w:pPr>
            <w:r w:rsidRPr="00D630BB">
              <w:rPr>
                <w:sz w:val="22"/>
                <w:szCs w:val="22"/>
              </w:rPr>
              <w:t>Mi-février 2020</w:t>
            </w:r>
          </w:p>
        </w:tc>
      </w:tr>
      <w:tr w:rsidR="005742A8" w:rsidRPr="000401A2" w14:paraId="3A0E038A" w14:textId="77777777" w:rsidTr="0028283F">
        <w:tc>
          <w:tcPr>
            <w:tcW w:w="5524" w:type="dxa"/>
          </w:tcPr>
          <w:p w14:paraId="2A18FDCE" w14:textId="15BBEADB" w:rsidR="005742A8" w:rsidRPr="000401A2" w:rsidRDefault="00021CF2" w:rsidP="00327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des résultats</w:t>
            </w:r>
          </w:p>
        </w:tc>
        <w:tc>
          <w:tcPr>
            <w:tcW w:w="3536" w:type="dxa"/>
          </w:tcPr>
          <w:p w14:paraId="1BCD9D08" w14:textId="652D920C" w:rsidR="005742A8" w:rsidRPr="000401A2" w:rsidRDefault="0084777D" w:rsidP="00327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 2020</w:t>
            </w:r>
          </w:p>
        </w:tc>
      </w:tr>
    </w:tbl>
    <w:p w14:paraId="37BA8D06" w14:textId="64ED57F8" w:rsidR="000401A2" w:rsidRPr="00D630BB" w:rsidRDefault="00021CF2" w:rsidP="00D630BB">
      <w:pPr>
        <w:shd w:val="clear" w:color="auto" w:fill="92CDDC" w:themeFill="accent5" w:themeFillTint="99"/>
        <w:rPr>
          <w:b/>
          <w:bCs/>
          <w:sz w:val="28"/>
          <w:szCs w:val="28"/>
        </w:rPr>
      </w:pPr>
      <w:r w:rsidRPr="00D630BB">
        <w:rPr>
          <w:b/>
          <w:bCs/>
          <w:sz w:val="28"/>
          <w:szCs w:val="28"/>
        </w:rPr>
        <w:t>Contact</w:t>
      </w:r>
    </w:p>
    <w:p w14:paraId="2ABC7E4E" w14:textId="5BBC2909" w:rsidR="00021CF2" w:rsidRDefault="00021CF2" w:rsidP="00021CF2">
      <w:pPr>
        <w:spacing w:line="240" w:lineRule="auto"/>
        <w:jc w:val="both"/>
        <w:rPr>
          <w:bCs/>
        </w:rPr>
      </w:pPr>
      <w:r w:rsidRPr="001641ED">
        <w:rPr>
          <w:bCs/>
        </w:rPr>
        <w:t xml:space="preserve">Les dossiers de candidature </w:t>
      </w:r>
      <w:r w:rsidRPr="00D630BB">
        <w:rPr>
          <w:bCs/>
          <w:u w:val="single"/>
        </w:rPr>
        <w:t>complets</w:t>
      </w:r>
      <w:r>
        <w:rPr>
          <w:bCs/>
        </w:rPr>
        <w:t xml:space="preserve"> </w:t>
      </w:r>
      <w:r w:rsidRPr="001641ED">
        <w:rPr>
          <w:bCs/>
        </w:rPr>
        <w:t xml:space="preserve">seront </w:t>
      </w:r>
      <w:r w:rsidRPr="00D630BB">
        <w:rPr>
          <w:b/>
          <w:bCs/>
        </w:rPr>
        <w:t xml:space="preserve">simultanément </w:t>
      </w:r>
      <w:r w:rsidRPr="001641ED">
        <w:rPr>
          <w:bCs/>
        </w:rPr>
        <w:t xml:space="preserve">envoyés </w:t>
      </w:r>
      <w:r>
        <w:rPr>
          <w:bCs/>
        </w:rPr>
        <w:t>au</w:t>
      </w:r>
    </w:p>
    <w:p w14:paraId="1C464457" w14:textId="2048C2EF" w:rsidR="00021CF2" w:rsidRPr="00021CF2" w:rsidRDefault="00021CF2" w:rsidP="00021CF2">
      <w:pPr>
        <w:pStyle w:val="Paragraphedeliste"/>
        <w:numPr>
          <w:ilvl w:val="0"/>
          <w:numId w:val="13"/>
        </w:numPr>
        <w:spacing w:line="240" w:lineRule="auto"/>
        <w:jc w:val="both"/>
        <w:rPr>
          <w:bCs/>
        </w:rPr>
      </w:pPr>
      <w:r w:rsidRPr="00021CF2">
        <w:rPr>
          <w:bCs/>
        </w:rPr>
        <w:t xml:space="preserve">Cancéropôle Grand </w:t>
      </w:r>
      <w:r w:rsidRPr="00D630BB">
        <w:rPr>
          <w:bCs/>
        </w:rPr>
        <w:t>Ouest (</w:t>
      </w:r>
      <w:r w:rsidR="00F02AB7">
        <w:rPr>
          <w:bCs/>
        </w:rPr>
        <w:t>contact@canceropole-grandouest.com)</w:t>
      </w:r>
    </w:p>
    <w:p w14:paraId="4EB87474" w14:textId="77777777" w:rsidR="00021CF2" w:rsidRPr="00BE6ACF" w:rsidRDefault="00021CF2" w:rsidP="00021CF2">
      <w:pPr>
        <w:pStyle w:val="Paragraphedeliste"/>
        <w:numPr>
          <w:ilvl w:val="0"/>
          <w:numId w:val="13"/>
        </w:numPr>
        <w:spacing w:line="240" w:lineRule="auto"/>
        <w:jc w:val="both"/>
        <w:rPr>
          <w:bCs/>
          <w:lang w:val="en-US"/>
        </w:rPr>
      </w:pPr>
      <w:r w:rsidRPr="00BE6ACF">
        <w:rPr>
          <w:bCs/>
          <w:lang w:val="en-US"/>
        </w:rPr>
        <w:t>SIRIC ILIAD (bp-siric-iliad@chu-nantes.fr).</w:t>
      </w:r>
    </w:p>
    <w:p w14:paraId="62716E99" w14:textId="77777777" w:rsidR="00021CF2" w:rsidRPr="003A70F1" w:rsidRDefault="00021CF2" w:rsidP="0032776E">
      <w:pPr>
        <w:rPr>
          <w:lang w:val="en-US"/>
        </w:rPr>
      </w:pPr>
    </w:p>
    <w:p w14:paraId="0E1C9B02" w14:textId="77777777" w:rsidR="00933EE4" w:rsidRPr="00446582" w:rsidRDefault="004575C9" w:rsidP="00933EE4">
      <w:pPr>
        <w:ind w:left="360"/>
      </w:pPr>
      <w:r w:rsidRPr="00933EE4">
        <w:rPr>
          <w:b/>
        </w:rPr>
        <w:t>Financement</w:t>
      </w:r>
      <w:r>
        <w:t> :</w:t>
      </w:r>
    </w:p>
    <w:p w14:paraId="6180884E" w14:textId="7ECCF494" w:rsidR="00933EE4" w:rsidRPr="00446582" w:rsidRDefault="003D0C00" w:rsidP="00610D0C">
      <w:pPr>
        <w:pStyle w:val="Paragraphedeliste"/>
        <w:numPr>
          <w:ilvl w:val="0"/>
          <w:numId w:val="1"/>
        </w:numPr>
      </w:pPr>
      <w:r w:rsidRPr="00446582">
        <w:t xml:space="preserve"> Autorisation d’e</w:t>
      </w:r>
      <w:r w:rsidR="004575C9" w:rsidRPr="00446582">
        <w:t>ngagement</w:t>
      </w:r>
      <w:r w:rsidRPr="00446582">
        <w:t> :</w:t>
      </w:r>
      <w:r w:rsidR="00825D44">
        <w:t> </w:t>
      </w:r>
      <w:r w:rsidR="00F02AB7">
        <w:t>Mars 2020</w:t>
      </w:r>
    </w:p>
    <w:p w14:paraId="10BC37FC" w14:textId="17CFD74A" w:rsidR="004575C9" w:rsidRPr="00446582" w:rsidRDefault="004575C9" w:rsidP="00610D0C">
      <w:pPr>
        <w:pStyle w:val="Paragraphedeliste"/>
        <w:numPr>
          <w:ilvl w:val="0"/>
          <w:numId w:val="1"/>
        </w:numPr>
      </w:pPr>
      <w:r w:rsidRPr="00446582">
        <w:t xml:space="preserve"> </w:t>
      </w:r>
      <w:r w:rsidR="00200C9F" w:rsidRPr="00446582">
        <w:t>Eligibilité des dépenses :</w:t>
      </w:r>
      <w:r w:rsidR="00825D44">
        <w:t> </w:t>
      </w:r>
      <w:r w:rsidR="00F02AB7">
        <w:t>Mars 2021</w:t>
      </w:r>
    </w:p>
    <w:p w14:paraId="1FBC8B33" w14:textId="42D853D7" w:rsidR="004575C9" w:rsidRPr="00446582" w:rsidRDefault="009F4278" w:rsidP="00933EE4">
      <w:pPr>
        <w:pStyle w:val="Paragraphedeliste"/>
        <w:numPr>
          <w:ilvl w:val="0"/>
          <w:numId w:val="1"/>
        </w:numPr>
      </w:pPr>
      <w:r w:rsidRPr="00446582">
        <w:t>Rapport</w:t>
      </w:r>
      <w:r w:rsidR="003D0C00" w:rsidRPr="00446582">
        <w:t>s</w:t>
      </w:r>
      <w:r w:rsidRPr="00446582">
        <w:t xml:space="preserve"> scientifique et financier à envoyer au plus tard le</w:t>
      </w:r>
      <w:r w:rsidR="00825D44">
        <w:t> </w:t>
      </w:r>
      <w:r w:rsidR="00F02AB7">
        <w:t>30 Juin 2021</w:t>
      </w:r>
      <w:r w:rsidR="00F02AB7" w:rsidRPr="00446582">
        <w:t xml:space="preserve">  </w:t>
      </w:r>
    </w:p>
    <w:p w14:paraId="1F34F666" w14:textId="00153D5F" w:rsidR="009F4278" w:rsidRDefault="00443000" w:rsidP="0032440A">
      <w:pPr>
        <w:pStyle w:val="Paragraphedeliste"/>
        <w:numPr>
          <w:ilvl w:val="0"/>
          <w:numId w:val="1"/>
        </w:numPr>
      </w:pPr>
      <w:r w:rsidRPr="00446582">
        <w:t xml:space="preserve">Evolution </w:t>
      </w:r>
      <w:r w:rsidR="00E57960" w:rsidRPr="00446582">
        <w:t xml:space="preserve">/ suivi </w:t>
      </w:r>
      <w:r w:rsidRPr="00446582">
        <w:t>du projet (obtention de financements à des appels d’offres nationaux/internationaux</w:t>
      </w:r>
      <w:r w:rsidR="0063664E" w:rsidRPr="00446582">
        <w:t>, création de start</w:t>
      </w:r>
      <w:r w:rsidR="0024018A" w:rsidRPr="00446582">
        <w:t xml:space="preserve">-up, </w:t>
      </w:r>
      <w:r w:rsidR="0059613E" w:rsidRPr="00446582">
        <w:t>brevet…</w:t>
      </w:r>
      <w:r w:rsidRPr="00446582">
        <w:t>)</w:t>
      </w:r>
      <w:r w:rsidR="00E57960" w:rsidRPr="00446582">
        <w:t xml:space="preserve"> à fournir </w:t>
      </w:r>
      <w:r w:rsidR="009F4278" w:rsidRPr="00446582">
        <w:t xml:space="preserve">chaque année </w:t>
      </w:r>
      <w:r w:rsidR="0063664E" w:rsidRPr="00446582">
        <w:t>jusqu’en 202</w:t>
      </w:r>
      <w:r w:rsidR="00F02AB7">
        <w:t>3</w:t>
      </w:r>
      <w:r w:rsidR="0063664E" w:rsidRPr="00446582">
        <w:t xml:space="preserve"> inclus </w:t>
      </w:r>
      <w:r w:rsidR="009F4278" w:rsidRPr="00446582">
        <w:t>(a</w:t>
      </w:r>
      <w:r w:rsidR="00200C9F" w:rsidRPr="00446582">
        <w:t xml:space="preserve">u plus </w:t>
      </w:r>
      <w:r w:rsidR="0059613E" w:rsidRPr="00446582">
        <w:t>tard le</w:t>
      </w:r>
      <w:r w:rsidR="00200C9F" w:rsidRPr="00446582">
        <w:t xml:space="preserve"> 31 décembre de chaque année</w:t>
      </w:r>
      <w:r w:rsidR="0063664E" w:rsidRPr="00446582">
        <w:t>).</w:t>
      </w:r>
    </w:p>
    <w:p w14:paraId="41281BE7" w14:textId="27A3B5E6" w:rsidR="00344F5B" w:rsidRPr="00446582" w:rsidRDefault="00344F5B" w:rsidP="00D630BB">
      <w:pPr>
        <w:spacing w:after="0" w:line="240" w:lineRule="auto"/>
      </w:pPr>
    </w:p>
    <w:sectPr w:rsidR="00344F5B" w:rsidRPr="00446582" w:rsidSect="00A6384E">
      <w:pgSz w:w="11906" w:h="16838"/>
      <w:pgMar w:top="567" w:right="1361" w:bottom="454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F47BC2" w15:done="0"/>
  <w15:commentEx w15:paraId="55CC90F6" w15:done="0"/>
  <w15:commentEx w15:paraId="6C3CA5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47BC2" w16cid:durableId="21868CB5"/>
  <w16cid:commentId w16cid:paraId="55CC90F6" w16cid:durableId="21868CB6"/>
  <w16cid:commentId w16cid:paraId="6C3CA50E" w16cid:durableId="21868C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6A87802"/>
    <w:lvl w:ilvl="0">
      <w:start w:val="1"/>
      <w:numFmt w:val="upperRoman"/>
      <w:isLgl/>
      <w:lvlText w:val="Titre %1 -"/>
      <w:lvlJc w:val="center"/>
      <w:pPr>
        <w:tabs>
          <w:tab w:val="num" w:pos="1080"/>
        </w:tabs>
        <w:ind w:left="708" w:hanging="708"/>
      </w:pPr>
      <w:rPr>
        <w:rFonts w:ascii="Ozzie Black" w:hAnsi="Ozzie Black" w:cs="Ozzie Black" w:hint="default"/>
        <w:b/>
        <w:bCs/>
        <w:i w:val="0"/>
        <w:iCs w:val="0"/>
      </w:rPr>
    </w:lvl>
    <w:lvl w:ilvl="1">
      <w:start w:val="1"/>
      <w:numFmt w:val="decimal"/>
      <w:isLgl/>
      <w:lvlText w:val="Article %2 -"/>
      <w:lvlJc w:val="left"/>
      <w:pPr>
        <w:tabs>
          <w:tab w:val="num" w:pos="2508"/>
        </w:tabs>
        <w:ind w:left="1416" w:hanging="708"/>
      </w:pPr>
      <w:rPr>
        <w:rFonts w:ascii="Ozzie Black" w:hAnsi="Ozzie Black" w:cs="Ozzie Black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32" w:hanging="708"/>
      </w:pPr>
    </w:lvl>
    <w:lvl w:ilvl="4">
      <w:start w:val="1"/>
      <w:numFmt w:val="none"/>
      <w:lvlText w:val=""/>
      <w:lvlJc w:val="left"/>
      <w:pPr>
        <w:tabs>
          <w:tab w:val="num" w:pos="0"/>
        </w:tabs>
        <w:ind w:left="3540" w:hanging="708"/>
      </w:pPr>
      <w:rPr>
        <w:rFonts w:ascii="Symbol" w:hAnsi="Symbol" w:cs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4249" w:hanging="709"/>
      </w:pPr>
      <w:rPr>
        <w:rFonts w:ascii="Wingdings" w:hAnsi="Wingdings" w:cs="Wingdings" w:hint="default"/>
      </w:rPr>
    </w:lvl>
    <w:lvl w:ilvl="6">
      <w:start w:val="1"/>
      <w:numFmt w:val="none"/>
      <w:lvlText w:val=""/>
      <w:lvlJc w:val="left"/>
      <w:pPr>
        <w:tabs>
          <w:tab w:val="num" w:pos="0"/>
        </w:tabs>
        <w:ind w:left="4958" w:hanging="709"/>
      </w:pPr>
      <w:rPr>
        <w:rFonts w:ascii="Symbol" w:hAnsi="Symbol" w:cs="Symbol" w:hint="default"/>
      </w:rPr>
    </w:lvl>
    <w:lvl w:ilvl="7">
      <w:start w:val="1"/>
      <w:numFmt w:val="none"/>
      <w:lvlText w:val=""/>
      <w:lvlJc w:val="left"/>
      <w:pPr>
        <w:tabs>
          <w:tab w:val="num" w:pos="0"/>
        </w:tabs>
        <w:ind w:left="5667" w:hanging="709"/>
      </w:pPr>
      <w:rPr>
        <w:rFonts w:ascii="Symbol" w:hAnsi="Symbol" w:cs="Symbol" w:hint="default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6376" w:hanging="709"/>
      </w:pPr>
      <w:rPr>
        <w:rFonts w:ascii="Symbol" w:hAnsi="Symbol" w:cs="Symbol" w:hint="default"/>
      </w:rPr>
    </w:lvl>
  </w:abstractNum>
  <w:abstractNum w:abstractNumId="1">
    <w:nsid w:val="00BC52B9"/>
    <w:multiLevelType w:val="hybridMultilevel"/>
    <w:tmpl w:val="BD12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6DA5"/>
    <w:multiLevelType w:val="hybridMultilevel"/>
    <w:tmpl w:val="10C84530"/>
    <w:lvl w:ilvl="0" w:tplc="1B0E6ED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E76FDE"/>
    <w:multiLevelType w:val="hybridMultilevel"/>
    <w:tmpl w:val="FA2AC632"/>
    <w:lvl w:ilvl="0" w:tplc="C1CC2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D85"/>
    <w:multiLevelType w:val="multilevel"/>
    <w:tmpl w:val="EEBAE0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F953DC"/>
    <w:multiLevelType w:val="hybridMultilevel"/>
    <w:tmpl w:val="D892DC62"/>
    <w:lvl w:ilvl="0" w:tplc="5C360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827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C8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49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2C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E2B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25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5A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EA6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6617BC"/>
    <w:multiLevelType w:val="hybridMultilevel"/>
    <w:tmpl w:val="5462B7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417F24"/>
    <w:multiLevelType w:val="hybridMultilevel"/>
    <w:tmpl w:val="AFA4AC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AB746F"/>
    <w:multiLevelType w:val="hybridMultilevel"/>
    <w:tmpl w:val="2A5EB782"/>
    <w:lvl w:ilvl="0" w:tplc="D9D440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20A25"/>
    <w:multiLevelType w:val="hybridMultilevel"/>
    <w:tmpl w:val="41FE2992"/>
    <w:lvl w:ilvl="0" w:tplc="AE903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863021"/>
    <w:multiLevelType w:val="hybridMultilevel"/>
    <w:tmpl w:val="44D03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3958"/>
    <w:multiLevelType w:val="hybridMultilevel"/>
    <w:tmpl w:val="58145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90BE5"/>
    <w:multiLevelType w:val="hybridMultilevel"/>
    <w:tmpl w:val="EEBAE0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illot-jl">
    <w15:presenceInfo w15:providerId="None" w15:userId="Caillot-j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F"/>
    <w:rsid w:val="000141C8"/>
    <w:rsid w:val="000179B3"/>
    <w:rsid w:val="000214A9"/>
    <w:rsid w:val="00021CF2"/>
    <w:rsid w:val="000355BB"/>
    <w:rsid w:val="00036D9C"/>
    <w:rsid w:val="000401A2"/>
    <w:rsid w:val="00052AB2"/>
    <w:rsid w:val="00075FB7"/>
    <w:rsid w:val="0008090E"/>
    <w:rsid w:val="000902D2"/>
    <w:rsid w:val="00095944"/>
    <w:rsid w:val="000A07B5"/>
    <w:rsid w:val="000A5171"/>
    <w:rsid w:val="000B3616"/>
    <w:rsid w:val="000C0ED9"/>
    <w:rsid w:val="00105C12"/>
    <w:rsid w:val="00110EB9"/>
    <w:rsid w:val="0012573F"/>
    <w:rsid w:val="00126C45"/>
    <w:rsid w:val="00130DCC"/>
    <w:rsid w:val="00136CC0"/>
    <w:rsid w:val="0014280A"/>
    <w:rsid w:val="001641ED"/>
    <w:rsid w:val="00185C9D"/>
    <w:rsid w:val="00196BDD"/>
    <w:rsid w:val="001A2D0C"/>
    <w:rsid w:val="001A4179"/>
    <w:rsid w:val="001C2700"/>
    <w:rsid w:val="001C67E0"/>
    <w:rsid w:val="001D4C90"/>
    <w:rsid w:val="001D6148"/>
    <w:rsid w:val="00200C9F"/>
    <w:rsid w:val="00205644"/>
    <w:rsid w:val="002145A5"/>
    <w:rsid w:val="00237D16"/>
    <w:rsid w:val="0024018A"/>
    <w:rsid w:val="0024137A"/>
    <w:rsid w:val="00266596"/>
    <w:rsid w:val="00273D02"/>
    <w:rsid w:val="0028283F"/>
    <w:rsid w:val="002A3531"/>
    <w:rsid w:val="002B1253"/>
    <w:rsid w:val="002D4B81"/>
    <w:rsid w:val="002E4379"/>
    <w:rsid w:val="002F0C13"/>
    <w:rsid w:val="0030098E"/>
    <w:rsid w:val="003013B4"/>
    <w:rsid w:val="00314892"/>
    <w:rsid w:val="00323D3A"/>
    <w:rsid w:val="0032776E"/>
    <w:rsid w:val="003333E3"/>
    <w:rsid w:val="00337919"/>
    <w:rsid w:val="00344F5B"/>
    <w:rsid w:val="003747DA"/>
    <w:rsid w:val="00384430"/>
    <w:rsid w:val="003914D5"/>
    <w:rsid w:val="003A260B"/>
    <w:rsid w:val="003A664C"/>
    <w:rsid w:val="003A70F1"/>
    <w:rsid w:val="003B4FD5"/>
    <w:rsid w:val="003C047A"/>
    <w:rsid w:val="003C50E6"/>
    <w:rsid w:val="003D0C00"/>
    <w:rsid w:val="0040058D"/>
    <w:rsid w:val="00421383"/>
    <w:rsid w:val="004268E7"/>
    <w:rsid w:val="00443000"/>
    <w:rsid w:val="00446582"/>
    <w:rsid w:val="004465B8"/>
    <w:rsid w:val="004467E8"/>
    <w:rsid w:val="00452626"/>
    <w:rsid w:val="00453131"/>
    <w:rsid w:val="004560F8"/>
    <w:rsid w:val="004575C9"/>
    <w:rsid w:val="00481A50"/>
    <w:rsid w:val="00487765"/>
    <w:rsid w:val="00494088"/>
    <w:rsid w:val="00494C6A"/>
    <w:rsid w:val="004956CC"/>
    <w:rsid w:val="004A74CF"/>
    <w:rsid w:val="004D4A32"/>
    <w:rsid w:val="004D695F"/>
    <w:rsid w:val="004E4A04"/>
    <w:rsid w:val="005047E9"/>
    <w:rsid w:val="00517B35"/>
    <w:rsid w:val="00547055"/>
    <w:rsid w:val="005611C2"/>
    <w:rsid w:val="00561716"/>
    <w:rsid w:val="00567F48"/>
    <w:rsid w:val="00572971"/>
    <w:rsid w:val="005742A8"/>
    <w:rsid w:val="00576558"/>
    <w:rsid w:val="00576D31"/>
    <w:rsid w:val="0059030F"/>
    <w:rsid w:val="0059613E"/>
    <w:rsid w:val="005B7384"/>
    <w:rsid w:val="005D4239"/>
    <w:rsid w:val="005D60DE"/>
    <w:rsid w:val="005F02A9"/>
    <w:rsid w:val="005F6036"/>
    <w:rsid w:val="005F6584"/>
    <w:rsid w:val="00605D35"/>
    <w:rsid w:val="00610D0C"/>
    <w:rsid w:val="00613D78"/>
    <w:rsid w:val="00614A39"/>
    <w:rsid w:val="00632CB6"/>
    <w:rsid w:val="0063664E"/>
    <w:rsid w:val="006437F2"/>
    <w:rsid w:val="006468B2"/>
    <w:rsid w:val="006527F5"/>
    <w:rsid w:val="0068212A"/>
    <w:rsid w:val="006944F8"/>
    <w:rsid w:val="006C35EF"/>
    <w:rsid w:val="006E0F9F"/>
    <w:rsid w:val="00755CD4"/>
    <w:rsid w:val="00757291"/>
    <w:rsid w:val="0077001B"/>
    <w:rsid w:val="00784259"/>
    <w:rsid w:val="007A43CB"/>
    <w:rsid w:val="007B41A6"/>
    <w:rsid w:val="007B566E"/>
    <w:rsid w:val="007C325D"/>
    <w:rsid w:val="007E5273"/>
    <w:rsid w:val="007E570A"/>
    <w:rsid w:val="007E6DEE"/>
    <w:rsid w:val="007E7469"/>
    <w:rsid w:val="00805AEA"/>
    <w:rsid w:val="00825D44"/>
    <w:rsid w:val="008301E3"/>
    <w:rsid w:val="008368CA"/>
    <w:rsid w:val="0084777D"/>
    <w:rsid w:val="008618BD"/>
    <w:rsid w:val="00877494"/>
    <w:rsid w:val="008A0165"/>
    <w:rsid w:val="008A05D8"/>
    <w:rsid w:val="008A269A"/>
    <w:rsid w:val="008B5628"/>
    <w:rsid w:val="008C2B51"/>
    <w:rsid w:val="008C50E7"/>
    <w:rsid w:val="008D71D4"/>
    <w:rsid w:val="009046A8"/>
    <w:rsid w:val="00911538"/>
    <w:rsid w:val="0092250C"/>
    <w:rsid w:val="00927EB0"/>
    <w:rsid w:val="00933EE4"/>
    <w:rsid w:val="0093750A"/>
    <w:rsid w:val="00950586"/>
    <w:rsid w:val="00965AF7"/>
    <w:rsid w:val="009727DF"/>
    <w:rsid w:val="009A1524"/>
    <w:rsid w:val="009B5DFC"/>
    <w:rsid w:val="009C4AA6"/>
    <w:rsid w:val="009D4509"/>
    <w:rsid w:val="009D5425"/>
    <w:rsid w:val="009F4278"/>
    <w:rsid w:val="009F4C42"/>
    <w:rsid w:val="00A046F8"/>
    <w:rsid w:val="00A06382"/>
    <w:rsid w:val="00A108B3"/>
    <w:rsid w:val="00A219E5"/>
    <w:rsid w:val="00A24CD8"/>
    <w:rsid w:val="00A2596B"/>
    <w:rsid w:val="00A26249"/>
    <w:rsid w:val="00A43C8F"/>
    <w:rsid w:val="00A4685F"/>
    <w:rsid w:val="00A51B44"/>
    <w:rsid w:val="00A535B7"/>
    <w:rsid w:val="00A61F8B"/>
    <w:rsid w:val="00A6384E"/>
    <w:rsid w:val="00A72628"/>
    <w:rsid w:val="00A8713A"/>
    <w:rsid w:val="00A93C65"/>
    <w:rsid w:val="00AA6C53"/>
    <w:rsid w:val="00AB313F"/>
    <w:rsid w:val="00AB518B"/>
    <w:rsid w:val="00AB688E"/>
    <w:rsid w:val="00AE4542"/>
    <w:rsid w:val="00AF1E8D"/>
    <w:rsid w:val="00AF3746"/>
    <w:rsid w:val="00B02EF3"/>
    <w:rsid w:val="00B27943"/>
    <w:rsid w:val="00B34FF0"/>
    <w:rsid w:val="00B3592C"/>
    <w:rsid w:val="00B508CD"/>
    <w:rsid w:val="00B70E4C"/>
    <w:rsid w:val="00BA53C0"/>
    <w:rsid w:val="00BE752F"/>
    <w:rsid w:val="00BF7264"/>
    <w:rsid w:val="00C01410"/>
    <w:rsid w:val="00C01E7A"/>
    <w:rsid w:val="00C0588C"/>
    <w:rsid w:val="00C25CEA"/>
    <w:rsid w:val="00C407EC"/>
    <w:rsid w:val="00C44811"/>
    <w:rsid w:val="00C75D7D"/>
    <w:rsid w:val="00C8355B"/>
    <w:rsid w:val="00C971D7"/>
    <w:rsid w:val="00CA1BE1"/>
    <w:rsid w:val="00CA7A09"/>
    <w:rsid w:val="00CB4DA9"/>
    <w:rsid w:val="00CC7615"/>
    <w:rsid w:val="00CF79C7"/>
    <w:rsid w:val="00D06325"/>
    <w:rsid w:val="00D201C7"/>
    <w:rsid w:val="00D57EA1"/>
    <w:rsid w:val="00D630BB"/>
    <w:rsid w:val="00D651BC"/>
    <w:rsid w:val="00D71E04"/>
    <w:rsid w:val="00D751EA"/>
    <w:rsid w:val="00D9489D"/>
    <w:rsid w:val="00DA3F7C"/>
    <w:rsid w:val="00DD76EC"/>
    <w:rsid w:val="00DF60DE"/>
    <w:rsid w:val="00E27E3F"/>
    <w:rsid w:val="00E51674"/>
    <w:rsid w:val="00E57960"/>
    <w:rsid w:val="00E628ED"/>
    <w:rsid w:val="00E67605"/>
    <w:rsid w:val="00E80A8D"/>
    <w:rsid w:val="00E86094"/>
    <w:rsid w:val="00E86231"/>
    <w:rsid w:val="00EC4B42"/>
    <w:rsid w:val="00EE1B6D"/>
    <w:rsid w:val="00EF3C59"/>
    <w:rsid w:val="00F02AB7"/>
    <w:rsid w:val="00F170EF"/>
    <w:rsid w:val="00F2385D"/>
    <w:rsid w:val="00F40D2B"/>
    <w:rsid w:val="00F6110F"/>
    <w:rsid w:val="00F723D2"/>
    <w:rsid w:val="00F74EF9"/>
    <w:rsid w:val="00FD1C75"/>
    <w:rsid w:val="00FD4C29"/>
    <w:rsid w:val="00FE359B"/>
    <w:rsid w:val="00FE3F48"/>
    <w:rsid w:val="00FE44AC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31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613D78"/>
    <w:pPr>
      <w:shd w:val="clear" w:color="auto" w:fill="92CDDC" w:themeFill="accent5" w:themeFillTint="9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45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Policepardfaut"/>
    <w:uiPriority w:val="99"/>
    <w:rsid w:val="00F170EF"/>
  </w:style>
  <w:style w:type="paragraph" w:styleId="Paragraphedeliste">
    <w:name w:val="List Paragraph"/>
    <w:basedOn w:val="Normal"/>
    <w:uiPriority w:val="99"/>
    <w:qFormat/>
    <w:rsid w:val="0057297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C4AA6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84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4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430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430"/>
    <w:rPr>
      <w:rFonts w:cs="Calibr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4A3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4A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13D78"/>
    <w:rPr>
      <w:rFonts w:cs="Calibri"/>
      <w:lang w:eastAsia="en-US"/>
    </w:rPr>
  </w:style>
  <w:style w:type="character" w:customStyle="1" w:styleId="Titre1Car">
    <w:name w:val="Titre 1 Car"/>
    <w:basedOn w:val="Policepardfaut"/>
    <w:link w:val="Titre1"/>
    <w:rsid w:val="00613D78"/>
    <w:rPr>
      <w:rFonts w:cs="Calibri"/>
      <w:b/>
      <w:bCs/>
      <w:sz w:val="28"/>
      <w:szCs w:val="28"/>
      <w:shd w:val="clear" w:color="auto" w:fill="92CDDC" w:themeFill="accent5" w:themeFillTint="99"/>
      <w:lang w:eastAsia="en-US"/>
    </w:rPr>
  </w:style>
  <w:style w:type="paragraph" w:styleId="Corpsdetexte2">
    <w:name w:val="Body Text 2"/>
    <w:basedOn w:val="Normal"/>
    <w:link w:val="Corpsdetexte2Car"/>
    <w:rsid w:val="00021CF2"/>
    <w:pPr>
      <w:suppressAutoHyphens/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021CF2"/>
    <w:rPr>
      <w:rFonts w:ascii="Optimum" w:eastAsia="Times New Roman" w:hAnsi="Optimum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847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31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613D78"/>
    <w:pPr>
      <w:shd w:val="clear" w:color="auto" w:fill="92CDDC" w:themeFill="accent5" w:themeFillTint="9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45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Policepardfaut"/>
    <w:uiPriority w:val="99"/>
    <w:rsid w:val="00F170EF"/>
  </w:style>
  <w:style w:type="paragraph" w:styleId="Paragraphedeliste">
    <w:name w:val="List Paragraph"/>
    <w:basedOn w:val="Normal"/>
    <w:uiPriority w:val="99"/>
    <w:qFormat/>
    <w:rsid w:val="0057297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C4AA6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84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4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430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430"/>
    <w:rPr>
      <w:rFonts w:cs="Calibr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4A3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4A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13D78"/>
    <w:rPr>
      <w:rFonts w:cs="Calibri"/>
      <w:lang w:eastAsia="en-US"/>
    </w:rPr>
  </w:style>
  <w:style w:type="character" w:customStyle="1" w:styleId="Titre1Car">
    <w:name w:val="Titre 1 Car"/>
    <w:basedOn w:val="Policepardfaut"/>
    <w:link w:val="Titre1"/>
    <w:rsid w:val="00613D78"/>
    <w:rPr>
      <w:rFonts w:cs="Calibri"/>
      <w:b/>
      <w:bCs/>
      <w:sz w:val="28"/>
      <w:szCs w:val="28"/>
      <w:shd w:val="clear" w:color="auto" w:fill="92CDDC" w:themeFill="accent5" w:themeFillTint="99"/>
      <w:lang w:eastAsia="en-US"/>
    </w:rPr>
  </w:style>
  <w:style w:type="paragraph" w:styleId="Corpsdetexte2">
    <w:name w:val="Body Text 2"/>
    <w:basedOn w:val="Normal"/>
    <w:link w:val="Corpsdetexte2Car"/>
    <w:rsid w:val="00021CF2"/>
    <w:pPr>
      <w:suppressAutoHyphens/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021CF2"/>
    <w:rPr>
      <w:rFonts w:ascii="Optimum" w:eastAsia="Times New Roman" w:hAnsi="Optimum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847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siric-iliad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siric-iliad.com/presentation/laboratoires-et-equip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0D35-75F5-4705-B4D1-88E956FD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1037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CHU de NANTES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Jean Luc CAILLOT</dc:creator>
  <cp:lastModifiedBy>RICHARD Chrystelle</cp:lastModifiedBy>
  <cp:revision>9</cp:revision>
  <cp:lastPrinted>2019-11-26T10:49:00Z</cp:lastPrinted>
  <dcterms:created xsi:type="dcterms:W3CDTF">2019-11-26T10:47:00Z</dcterms:created>
  <dcterms:modified xsi:type="dcterms:W3CDTF">2019-11-26T15:38:00Z</dcterms:modified>
</cp:coreProperties>
</file>